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BBDFB">
      <w:pPr>
        <w:spacing w:line="263" w:lineRule="auto"/>
        <w:rPr>
          <w:rFonts w:ascii="Arial"/>
          <w:sz w:val="21"/>
        </w:rPr>
      </w:pPr>
      <w:bookmarkStart w:id="0" w:name="_GoBack"/>
      <w:bookmarkEnd w:id="0"/>
    </w:p>
    <w:p w14:paraId="75E51EE9">
      <w:pPr>
        <w:spacing w:line="263" w:lineRule="auto"/>
        <w:rPr>
          <w:rFonts w:ascii="Arial"/>
          <w:sz w:val="21"/>
        </w:rPr>
      </w:pPr>
    </w:p>
    <w:p w14:paraId="477C9D52">
      <w:pPr>
        <w:spacing w:line="264" w:lineRule="auto"/>
        <w:rPr>
          <w:rFonts w:ascii="Arial"/>
          <w:sz w:val="21"/>
        </w:rPr>
      </w:pPr>
    </w:p>
    <w:p w14:paraId="0B8A5D8C">
      <w:pPr>
        <w:spacing w:before="114" w:line="495" w:lineRule="exact"/>
        <w:ind w:left="1430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6"/>
          <w:position w:val="2"/>
          <w:sz w:val="35"/>
          <w:szCs w:val="35"/>
        </w:rPr>
        <w:t>卫星网络国内协调管理办法（暂行）</w:t>
      </w:r>
    </w:p>
    <w:p w14:paraId="4BD2CD20">
      <w:pPr>
        <w:spacing w:line="269" w:lineRule="auto"/>
        <w:rPr>
          <w:rFonts w:ascii="Arial"/>
          <w:sz w:val="21"/>
        </w:rPr>
      </w:pPr>
    </w:p>
    <w:p w14:paraId="1E06A5CF">
      <w:pPr>
        <w:spacing w:line="269" w:lineRule="auto"/>
        <w:rPr>
          <w:rFonts w:ascii="Arial"/>
          <w:sz w:val="21"/>
        </w:rPr>
      </w:pPr>
    </w:p>
    <w:p w14:paraId="4804CE62">
      <w:pPr>
        <w:spacing w:line="270" w:lineRule="auto"/>
        <w:rPr>
          <w:rFonts w:ascii="Arial"/>
          <w:sz w:val="21"/>
        </w:rPr>
      </w:pPr>
    </w:p>
    <w:p w14:paraId="26F37EDC">
      <w:pPr>
        <w:spacing w:before="101" w:line="227" w:lineRule="auto"/>
        <w:ind w:left="31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第一章</w:t>
      </w:r>
      <w:r>
        <w:rPr>
          <w:rFonts w:ascii="黑体" w:hAnsi="黑体" w:eastAsia="黑体" w:cs="黑体"/>
          <w:spacing w:val="16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1"/>
          <w:sz w:val="31"/>
          <w:szCs w:val="31"/>
        </w:rPr>
        <w:t>总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1"/>
          <w:sz w:val="31"/>
          <w:szCs w:val="31"/>
        </w:rPr>
        <w:t>则</w:t>
      </w:r>
    </w:p>
    <w:p w14:paraId="7C55B1B4">
      <w:pPr>
        <w:spacing w:line="269" w:lineRule="auto"/>
        <w:rPr>
          <w:rFonts w:ascii="Arial"/>
          <w:sz w:val="21"/>
        </w:rPr>
      </w:pPr>
    </w:p>
    <w:p w14:paraId="27E91B48">
      <w:pPr>
        <w:pStyle w:val="2"/>
        <w:spacing w:before="101" w:line="352" w:lineRule="auto"/>
        <w:ind w:firstLine="642"/>
      </w:pPr>
      <w:r>
        <w:rPr>
          <w:rFonts w:ascii="黑体" w:hAnsi="黑体" w:eastAsia="黑体" w:cs="黑体"/>
          <w:spacing w:val="15"/>
        </w:rPr>
        <w:t xml:space="preserve">第一条 </w:t>
      </w:r>
      <w:r>
        <w:rPr>
          <w:spacing w:val="15"/>
        </w:rPr>
        <w:t>为提升卫星网络国内协调效率，优化协</w:t>
      </w:r>
      <w:r>
        <w:rPr>
          <w:spacing w:val="14"/>
        </w:rPr>
        <w:t>调程序，</w:t>
      </w:r>
      <w:r>
        <w:t xml:space="preserve"> </w:t>
      </w:r>
      <w:r>
        <w:rPr>
          <w:spacing w:val="9"/>
        </w:rPr>
        <w:t>促进卫星频率轨道资源高效开发利用，维护空</w:t>
      </w:r>
      <w:r>
        <w:rPr>
          <w:spacing w:val="8"/>
        </w:rPr>
        <w:t>中电波秩序，根</w:t>
      </w:r>
      <w:r>
        <w:t xml:space="preserve"> </w:t>
      </w:r>
      <w:r>
        <w:rPr>
          <w:spacing w:val="-6"/>
        </w:rPr>
        <w:t>据《中华人民共和国无线电管理条例》，参照国际电信</w:t>
      </w:r>
      <w:r>
        <w:rPr>
          <w:spacing w:val="-7"/>
        </w:rPr>
        <w:t>联盟（</w:t>
      </w:r>
      <w:r>
        <w:rPr>
          <w:spacing w:val="-55"/>
        </w:rPr>
        <w:t xml:space="preserve"> </w:t>
      </w:r>
      <w:r>
        <w:rPr>
          <w:spacing w:val="-7"/>
        </w:rPr>
        <w:t>以</w:t>
      </w:r>
      <w:r>
        <w:t xml:space="preserve"> </w:t>
      </w:r>
      <w:r>
        <w:rPr>
          <w:spacing w:val="9"/>
        </w:rPr>
        <w:t>下简称国际电联）《无线电规则》等相关法规和规</w:t>
      </w:r>
      <w:r>
        <w:rPr>
          <w:spacing w:val="8"/>
        </w:rPr>
        <w:t>定，制定本</w:t>
      </w:r>
      <w:r>
        <w:t xml:space="preserve"> </w:t>
      </w:r>
      <w:r>
        <w:rPr>
          <w:spacing w:val="3"/>
        </w:rPr>
        <w:t>办法。</w:t>
      </w:r>
    </w:p>
    <w:p w14:paraId="38487A87">
      <w:pPr>
        <w:pStyle w:val="2"/>
        <w:spacing w:before="48" w:line="346" w:lineRule="auto"/>
        <w:ind w:left="11" w:firstLine="630"/>
        <w:jc w:val="both"/>
      </w:pPr>
      <w:r>
        <w:rPr>
          <w:rFonts w:ascii="黑体" w:hAnsi="黑体" w:eastAsia="黑体" w:cs="黑体"/>
          <w:spacing w:val="10"/>
        </w:rPr>
        <w:t xml:space="preserve">第二条 </w:t>
      </w:r>
      <w:r>
        <w:rPr>
          <w:spacing w:val="10"/>
        </w:rPr>
        <w:t>卫星网络国内协调（</w:t>
      </w:r>
      <w:r>
        <w:rPr>
          <w:spacing w:val="-37"/>
        </w:rPr>
        <w:t xml:space="preserve"> </w:t>
      </w:r>
      <w:r>
        <w:rPr>
          <w:spacing w:val="10"/>
        </w:rPr>
        <w:t>以下简称国内协调）是指在</w:t>
      </w:r>
      <w:r>
        <w:t xml:space="preserve"> </w:t>
      </w:r>
      <w:r>
        <w:rPr>
          <w:spacing w:val="8"/>
        </w:rPr>
        <w:t>国际电联《无线电规则》框架下，我国卫星网络之间、卫星网</w:t>
      </w:r>
      <w:r>
        <w:rPr>
          <w:spacing w:val="11"/>
        </w:rPr>
        <w:t xml:space="preserve"> </w:t>
      </w:r>
      <w:r>
        <w:rPr>
          <w:spacing w:val="8"/>
        </w:rPr>
        <w:t>络与地面无线电台（站）之间的频率协调。</w:t>
      </w:r>
    </w:p>
    <w:p w14:paraId="196C250B">
      <w:pPr>
        <w:pStyle w:val="2"/>
        <w:spacing w:before="58" w:line="341" w:lineRule="auto"/>
        <w:ind w:left="7" w:right="2" w:firstLine="634"/>
      </w:pPr>
      <w:r>
        <w:rPr>
          <w:spacing w:val="22"/>
        </w:rPr>
        <w:t>本办法适用于我国境内卫星操作单位开展的</w:t>
      </w:r>
      <w:r>
        <w:rPr>
          <w:spacing w:val="21"/>
        </w:rPr>
        <w:t>国内协调工</w:t>
      </w:r>
      <w:r>
        <w:t xml:space="preserve"> </w:t>
      </w:r>
      <w:r>
        <w:rPr>
          <w:spacing w:val="-4"/>
        </w:rPr>
        <w:t>作。</w:t>
      </w:r>
    </w:p>
    <w:p w14:paraId="0F4629B5">
      <w:pPr>
        <w:pStyle w:val="2"/>
        <w:spacing w:before="52" w:line="346" w:lineRule="auto"/>
        <w:ind w:left="11" w:right="2" w:firstLine="630"/>
        <w:jc w:val="both"/>
      </w:pPr>
      <w:r>
        <w:rPr>
          <w:rFonts w:ascii="黑体" w:hAnsi="黑体" w:eastAsia="黑体" w:cs="黑体"/>
          <w:spacing w:val="14"/>
        </w:rPr>
        <w:t xml:space="preserve">第三条 </w:t>
      </w:r>
      <w:r>
        <w:rPr>
          <w:spacing w:val="14"/>
        </w:rPr>
        <w:t>国内协调依据协调地位开展，国内协调地位应按</w:t>
      </w:r>
      <w:r>
        <w:rPr>
          <w:spacing w:val="18"/>
        </w:rPr>
        <w:t xml:space="preserve"> </w:t>
      </w:r>
      <w:r>
        <w:rPr>
          <w:spacing w:val="8"/>
        </w:rPr>
        <w:t>照国际电联《无线电规则》和国家无线电管理有关规定，以及 工业和信息化部收妥完整卫星网络资料的时间确立。</w:t>
      </w:r>
    </w:p>
    <w:p w14:paraId="1492A94D">
      <w:pPr>
        <w:pStyle w:val="2"/>
        <w:spacing w:before="57" w:line="350" w:lineRule="auto"/>
        <w:ind w:left="5" w:firstLine="664"/>
        <w:jc w:val="both"/>
      </w:pPr>
      <w:r>
        <w:rPr>
          <w:spacing w:val="20"/>
        </w:rPr>
        <w:t>国内协调地位较低的卫星网络应主动采取切实可行的措</w:t>
      </w:r>
      <w:r>
        <w:rPr>
          <w:spacing w:val="16"/>
        </w:rPr>
        <w:t xml:space="preserve"> </w:t>
      </w:r>
      <w:r>
        <w:rPr>
          <w:spacing w:val="8"/>
        </w:rPr>
        <w:t>施，避免对国内协调地位较高的卫星网络造成有害干扰，也不</w:t>
      </w:r>
      <w:r>
        <w:rPr>
          <w:spacing w:val="15"/>
        </w:rPr>
        <w:t xml:space="preserve"> </w:t>
      </w:r>
      <w:r>
        <w:rPr>
          <w:spacing w:val="21"/>
        </w:rPr>
        <w:t>得向国内协调地位较高的卫星网络提出免受有害干扰</w:t>
      </w:r>
      <w:r>
        <w:rPr>
          <w:spacing w:val="20"/>
        </w:rPr>
        <w:t>的保护</w:t>
      </w:r>
      <w:r>
        <w:t xml:space="preserve"> </w:t>
      </w:r>
      <w:r>
        <w:rPr>
          <w:spacing w:val="1"/>
        </w:rPr>
        <w:t>要求。</w:t>
      </w:r>
    </w:p>
    <w:p w14:paraId="2778FD15">
      <w:pPr>
        <w:pStyle w:val="2"/>
        <w:spacing w:before="49" w:line="224" w:lineRule="auto"/>
        <w:ind w:right="2"/>
        <w:jc w:val="right"/>
      </w:pPr>
      <w:r>
        <w:rPr>
          <w:rFonts w:ascii="黑体" w:hAnsi="黑体" w:eastAsia="黑体" w:cs="黑体"/>
          <w:spacing w:val="13"/>
        </w:rPr>
        <w:t>第四条</w:t>
      </w:r>
      <w:r>
        <w:rPr>
          <w:rFonts w:ascii="黑体" w:hAnsi="黑体" w:eastAsia="黑体" w:cs="黑体"/>
          <w:spacing w:val="57"/>
        </w:rPr>
        <w:t xml:space="preserve"> </w:t>
      </w:r>
      <w:r>
        <w:rPr>
          <w:spacing w:val="13"/>
        </w:rPr>
        <w:t>向国际电联申报卫星网络的卫星操作单位为申报</w:t>
      </w:r>
    </w:p>
    <w:p w14:paraId="73CE7903">
      <w:pPr>
        <w:spacing w:line="224" w:lineRule="auto"/>
        <w:sectPr>
          <w:footerReference r:id="rId5" w:type="default"/>
          <w:pgSz w:w="11906" w:h="16839"/>
          <w:pgMar w:top="1431" w:right="1586" w:bottom="1200" w:left="1710" w:header="0" w:footer="1013" w:gutter="0"/>
          <w:cols w:space="720" w:num="1"/>
        </w:sectPr>
      </w:pPr>
    </w:p>
    <w:p w14:paraId="47D6CEAA">
      <w:pPr>
        <w:spacing w:line="263" w:lineRule="auto"/>
        <w:rPr>
          <w:rFonts w:ascii="Arial"/>
          <w:sz w:val="21"/>
        </w:rPr>
      </w:pPr>
    </w:p>
    <w:p w14:paraId="2DA402A4">
      <w:pPr>
        <w:pStyle w:val="2"/>
        <w:spacing w:before="101" w:line="349" w:lineRule="auto"/>
        <w:ind w:left="11" w:right="89" w:firstLine="6"/>
        <w:jc w:val="both"/>
      </w:pPr>
      <w:r>
        <w:rPr>
          <w:spacing w:val="5"/>
        </w:rPr>
        <w:t>单位，与其开展协调的单位为协调单位。</w:t>
      </w:r>
      <w:r>
        <w:rPr>
          <w:spacing w:val="-63"/>
        </w:rPr>
        <w:t xml:space="preserve"> </w:t>
      </w:r>
      <w:r>
        <w:rPr>
          <w:spacing w:val="5"/>
        </w:rPr>
        <w:t>申报和协调单位是开</w:t>
      </w:r>
      <w:r>
        <w:t xml:space="preserve"> </w:t>
      </w:r>
      <w:r>
        <w:rPr>
          <w:spacing w:val="8"/>
        </w:rPr>
        <w:t>展国内协调的责任主体。工业和信息化部为国内协调的主管部</w:t>
      </w:r>
      <w:r>
        <w:rPr>
          <w:spacing w:val="14"/>
        </w:rPr>
        <w:t xml:space="preserve"> </w:t>
      </w:r>
      <w:r>
        <w:rPr>
          <w:spacing w:val="8"/>
        </w:rPr>
        <w:t>门，负责对国内协调进行政策指导和统筹管理，对重大、复杂</w:t>
      </w:r>
      <w:r>
        <w:rPr>
          <w:spacing w:val="15"/>
        </w:rPr>
        <w:t xml:space="preserve"> </w:t>
      </w:r>
      <w:r>
        <w:rPr>
          <w:spacing w:val="8"/>
        </w:rPr>
        <w:t>的协调问题进行评估和判定。</w:t>
      </w:r>
    </w:p>
    <w:p w14:paraId="478E56C2">
      <w:pPr>
        <w:pStyle w:val="2"/>
        <w:spacing w:before="52" w:line="340" w:lineRule="auto"/>
        <w:ind w:left="18" w:right="91" w:firstLine="629"/>
      </w:pPr>
      <w:r>
        <w:rPr>
          <w:rFonts w:ascii="黑体" w:hAnsi="黑体" w:eastAsia="黑体" w:cs="黑体"/>
          <w:spacing w:val="14"/>
        </w:rPr>
        <w:t xml:space="preserve">第五条 </w:t>
      </w:r>
      <w:r>
        <w:rPr>
          <w:spacing w:val="14"/>
        </w:rPr>
        <w:t>国内协调工作应本着合法、合理、务实、高效的</w:t>
      </w:r>
      <w:r>
        <w:rPr>
          <w:spacing w:val="18"/>
        </w:rPr>
        <w:t xml:space="preserve"> </w:t>
      </w:r>
      <w:r>
        <w:rPr>
          <w:spacing w:val="5"/>
        </w:rPr>
        <w:t>原则有序开展。</w:t>
      </w:r>
    </w:p>
    <w:p w14:paraId="05D4727A">
      <w:pPr>
        <w:pStyle w:val="2"/>
        <w:spacing w:before="61" w:line="351" w:lineRule="auto"/>
        <w:ind w:left="9" w:firstLine="685"/>
        <w:jc w:val="both"/>
      </w:pPr>
      <w:r>
        <w:rPr>
          <w:spacing w:val="-9"/>
        </w:rPr>
        <w:t>申报单位应依据国际电联《无线电规则》及相关建议书（</w:t>
      </w:r>
      <w:r>
        <w:rPr>
          <w:spacing w:val="-63"/>
        </w:rPr>
        <w:t xml:space="preserve"> </w:t>
      </w:r>
      <w:r>
        <w:rPr>
          <w:spacing w:val="-9"/>
        </w:rPr>
        <w:t>常</w:t>
      </w:r>
      <w:r>
        <w:t xml:space="preserve"> 用建议书见附件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t xml:space="preserve">）主动开展国内协调，协调单位应积极配合。 </w:t>
      </w:r>
      <w:r>
        <w:rPr>
          <w:spacing w:val="21"/>
        </w:rPr>
        <w:t>协调单位不得以非技术、非规则要求拒绝或拖延国</w:t>
      </w:r>
      <w:r>
        <w:rPr>
          <w:spacing w:val="20"/>
        </w:rPr>
        <w:t>内协调工</w:t>
      </w:r>
      <w:r>
        <w:t xml:space="preserve"> </w:t>
      </w:r>
      <w:r>
        <w:rPr>
          <w:spacing w:val="8"/>
        </w:rPr>
        <w:t>作，不得对申报单位设定明显超出技术、经济合理性的约束措</w:t>
      </w:r>
      <w:r>
        <w:rPr>
          <w:spacing w:val="18"/>
        </w:rPr>
        <w:t xml:space="preserve"> </w:t>
      </w:r>
      <w:r>
        <w:rPr>
          <w:spacing w:val="8"/>
        </w:rPr>
        <w:t>施或其他显失公平的限制条件。</w:t>
      </w:r>
    </w:p>
    <w:p w14:paraId="753BFDE2">
      <w:pPr>
        <w:pStyle w:val="2"/>
        <w:spacing w:before="51" w:line="351" w:lineRule="auto"/>
        <w:ind w:left="7" w:right="89" w:firstLine="640"/>
        <w:jc w:val="both"/>
      </w:pPr>
      <w:r>
        <w:rPr>
          <w:rFonts w:ascii="黑体" w:hAnsi="黑体" w:eastAsia="黑体" w:cs="黑体"/>
          <w:spacing w:val="14"/>
        </w:rPr>
        <w:t xml:space="preserve">第六条 </w:t>
      </w:r>
      <w:r>
        <w:rPr>
          <w:spacing w:val="14"/>
        </w:rPr>
        <w:t>鼓励卫星操作单位通过加强合作和技术创新方式</w:t>
      </w:r>
      <w:r>
        <w:rPr>
          <w:spacing w:val="18"/>
        </w:rPr>
        <w:t xml:space="preserve"> </w:t>
      </w:r>
      <w:r>
        <w:rPr>
          <w:spacing w:val="9"/>
        </w:rPr>
        <w:t>完成协调。对于协调难度大的技术问题，支持通</w:t>
      </w:r>
      <w:r>
        <w:rPr>
          <w:spacing w:val="8"/>
        </w:rPr>
        <w:t>过先行先试和</w:t>
      </w:r>
      <w:r>
        <w:t xml:space="preserve"> </w:t>
      </w:r>
      <w:r>
        <w:rPr>
          <w:spacing w:val="8"/>
        </w:rPr>
        <w:t>试验验证的方式进行协调。对于遥感卫星的数据传输和测控频</w:t>
      </w:r>
      <w:r>
        <w:rPr>
          <w:spacing w:val="18"/>
        </w:rPr>
        <w:t xml:space="preserve"> </w:t>
      </w:r>
      <w:r>
        <w:rPr>
          <w:spacing w:val="9"/>
        </w:rPr>
        <w:t>段，国家通过制定使用规划的方式优化国内协调</w:t>
      </w:r>
      <w:r>
        <w:rPr>
          <w:spacing w:val="8"/>
        </w:rPr>
        <w:t>工作，逐步推</w:t>
      </w:r>
      <w:r>
        <w:t xml:space="preserve"> </w:t>
      </w:r>
      <w:r>
        <w:rPr>
          <w:spacing w:val="7"/>
        </w:rPr>
        <w:t>广频率统筹协调使用。</w:t>
      </w:r>
    </w:p>
    <w:p w14:paraId="4D1A6DF8">
      <w:pPr>
        <w:pStyle w:val="2"/>
        <w:spacing w:before="52" w:line="342" w:lineRule="auto"/>
        <w:ind w:right="91" w:firstLine="652"/>
      </w:pPr>
      <w:r>
        <w:rPr>
          <w:spacing w:val="8"/>
        </w:rPr>
        <w:t>鼓励卫星操作单位使用电子邮件、政务平台、在线会议等</w:t>
      </w:r>
      <w:r>
        <w:rPr>
          <w:spacing w:val="10"/>
        </w:rPr>
        <w:t xml:space="preserve"> </w:t>
      </w:r>
      <w:r>
        <w:rPr>
          <w:spacing w:val="9"/>
        </w:rPr>
        <w:t>信息化手段开展协调，提升国内协调效率。</w:t>
      </w:r>
    </w:p>
    <w:p w14:paraId="480ABDF7">
      <w:pPr>
        <w:pStyle w:val="2"/>
        <w:spacing w:before="51" w:line="346" w:lineRule="auto"/>
        <w:ind w:left="37" w:right="91" w:firstLine="610"/>
      </w:pPr>
      <w:r>
        <w:rPr>
          <w:rFonts w:ascii="黑体" w:hAnsi="黑体" w:eastAsia="黑体" w:cs="黑体"/>
          <w:spacing w:val="12"/>
        </w:rPr>
        <w:t>第七条</w:t>
      </w:r>
      <w:r>
        <w:rPr>
          <w:rFonts w:ascii="黑体" w:hAnsi="黑体" w:eastAsia="黑体" w:cs="黑体"/>
          <w:spacing w:val="80"/>
        </w:rPr>
        <w:t xml:space="preserve"> </w:t>
      </w:r>
      <w:r>
        <w:rPr>
          <w:spacing w:val="12"/>
        </w:rPr>
        <w:t>申报单位应积极开展国内协调，在按本办法完成</w:t>
      </w:r>
      <w:r>
        <w:t xml:space="preserve"> </w:t>
      </w:r>
      <w:r>
        <w:rPr>
          <w:spacing w:val="7"/>
        </w:rPr>
        <w:t>国内协调后，方可依法申请卫星无线电频率许可和空间无线电</w:t>
      </w:r>
      <w:r>
        <w:rPr>
          <w:spacing w:val="15"/>
        </w:rPr>
        <w:t xml:space="preserve"> </w:t>
      </w:r>
      <w:r>
        <w:rPr>
          <w:spacing w:val="-3"/>
        </w:rPr>
        <w:t>台执照。</w:t>
      </w:r>
    </w:p>
    <w:p w14:paraId="1CDFE2EE">
      <w:pPr>
        <w:pStyle w:val="2"/>
        <w:spacing w:before="56" w:line="220" w:lineRule="auto"/>
        <w:ind w:left="656"/>
      </w:pPr>
      <w:r>
        <w:rPr>
          <w:spacing w:val="8"/>
        </w:rPr>
        <w:t>卫星网络在报送通知资料前，应完成国内协调；或提交与</w:t>
      </w:r>
    </w:p>
    <w:p w14:paraId="202789D7">
      <w:pPr>
        <w:spacing w:line="220" w:lineRule="auto"/>
        <w:sectPr>
          <w:footerReference r:id="rId6" w:type="default"/>
          <w:pgSz w:w="11906" w:h="16839"/>
          <w:pgMar w:top="1431" w:right="1497" w:bottom="1200" w:left="1704" w:header="0" w:footer="1013" w:gutter="0"/>
          <w:cols w:space="720" w:num="1"/>
        </w:sectPr>
      </w:pPr>
    </w:p>
    <w:p w14:paraId="77E6B93E">
      <w:pPr>
        <w:spacing w:line="263" w:lineRule="auto"/>
        <w:rPr>
          <w:rFonts w:ascii="Arial"/>
          <w:sz w:val="21"/>
        </w:rPr>
      </w:pPr>
    </w:p>
    <w:p w14:paraId="0D23C543">
      <w:pPr>
        <w:pStyle w:val="2"/>
        <w:spacing w:before="100" w:line="350" w:lineRule="auto"/>
        <w:ind w:left="1" w:firstLine="2"/>
        <w:jc w:val="both"/>
      </w:pPr>
      <w:r>
        <w:rPr>
          <w:spacing w:val="8"/>
        </w:rPr>
        <w:t>未完成协调卫星网络的合理可行的频率兼容分析报告，并作出</w:t>
      </w:r>
      <w:r>
        <w:rPr>
          <w:spacing w:val="18"/>
        </w:rPr>
        <w:t xml:space="preserve"> </w:t>
      </w:r>
      <w:r>
        <w:rPr>
          <w:spacing w:val="8"/>
        </w:rPr>
        <w:t>避免对国内协调地位较高的卫星网络造成有害干扰，也不得向</w:t>
      </w:r>
      <w:r>
        <w:rPr>
          <w:spacing w:val="18"/>
        </w:rPr>
        <w:t xml:space="preserve"> </w:t>
      </w:r>
      <w:r>
        <w:rPr>
          <w:spacing w:val="21"/>
        </w:rPr>
        <w:t>国内协调地位较高的卫星网络提出免受有害干扰的保护要求</w:t>
      </w:r>
      <w:r>
        <w:rPr>
          <w:spacing w:val="1"/>
        </w:rPr>
        <w:t xml:space="preserve"> </w:t>
      </w:r>
      <w:r>
        <w:rPr>
          <w:spacing w:val="4"/>
        </w:rPr>
        <w:t>的承诺。</w:t>
      </w:r>
    </w:p>
    <w:p w14:paraId="386C972E">
      <w:pPr>
        <w:pStyle w:val="2"/>
        <w:spacing w:before="49" w:line="352" w:lineRule="auto"/>
        <w:ind w:left="1" w:firstLine="640"/>
        <w:jc w:val="both"/>
      </w:pPr>
      <w:r>
        <w:rPr>
          <w:rFonts w:ascii="黑体" w:hAnsi="黑体" w:eastAsia="黑体" w:cs="黑体"/>
          <w:spacing w:val="14"/>
        </w:rPr>
        <w:t xml:space="preserve">第八条 </w:t>
      </w:r>
      <w:r>
        <w:rPr>
          <w:spacing w:val="14"/>
        </w:rPr>
        <w:t>国内协调地位较低的卫星网络在卫星发射之后如</w:t>
      </w:r>
      <w:r>
        <w:rPr>
          <w:spacing w:val="18"/>
        </w:rPr>
        <w:t xml:space="preserve"> </w:t>
      </w:r>
      <w:r>
        <w:rPr>
          <w:spacing w:val="8"/>
        </w:rPr>
        <w:t>果对国内协调地位较高的卫星网络产生实际有害干扰，则协调</w:t>
      </w:r>
      <w:r>
        <w:rPr>
          <w:spacing w:val="18"/>
        </w:rPr>
        <w:t xml:space="preserve"> </w:t>
      </w:r>
      <w:r>
        <w:rPr>
          <w:spacing w:val="9"/>
        </w:rPr>
        <w:t>地位较低的卫星操作单位应立即、主动采取降低</w:t>
      </w:r>
      <w:r>
        <w:rPr>
          <w:spacing w:val="8"/>
        </w:rPr>
        <w:t>功率等有效措</w:t>
      </w:r>
      <w:r>
        <w:t xml:space="preserve"> </w:t>
      </w:r>
      <w:r>
        <w:rPr>
          <w:spacing w:val="9"/>
        </w:rPr>
        <w:t>施，直至关闭实际发射，消除有害干扰。协调地</w:t>
      </w:r>
      <w:r>
        <w:rPr>
          <w:spacing w:val="8"/>
        </w:rPr>
        <w:t>位较高的卫星</w:t>
      </w:r>
      <w:r>
        <w:t xml:space="preserve"> </w:t>
      </w:r>
      <w:r>
        <w:rPr>
          <w:spacing w:val="21"/>
        </w:rPr>
        <w:t>操作单位应按照国际电联相关规则及我国的相关规定采</w:t>
      </w:r>
      <w:r>
        <w:rPr>
          <w:spacing w:val="20"/>
        </w:rPr>
        <w:t>取相</w:t>
      </w:r>
      <w:r>
        <w:t xml:space="preserve"> </w:t>
      </w:r>
      <w:r>
        <w:rPr>
          <w:spacing w:val="8"/>
        </w:rPr>
        <w:t>应措施，配合规避有害干扰。</w:t>
      </w:r>
    </w:p>
    <w:p w14:paraId="55748155">
      <w:pPr>
        <w:spacing w:before="206" w:line="226" w:lineRule="auto"/>
        <w:ind w:left="159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第二章  卫星网络国内协调关系的建立</w:t>
      </w:r>
    </w:p>
    <w:p w14:paraId="05A87579">
      <w:pPr>
        <w:spacing w:line="274" w:lineRule="auto"/>
        <w:rPr>
          <w:rFonts w:ascii="Arial"/>
          <w:sz w:val="21"/>
        </w:rPr>
      </w:pPr>
    </w:p>
    <w:p w14:paraId="0A4046D2">
      <w:pPr>
        <w:pStyle w:val="2"/>
        <w:spacing w:before="101" w:line="349" w:lineRule="auto"/>
        <w:ind w:firstLine="642"/>
      </w:pPr>
      <w:r>
        <w:rPr>
          <w:rFonts w:ascii="黑体" w:hAnsi="黑体" w:eastAsia="黑体" w:cs="黑体"/>
          <w:spacing w:val="14"/>
        </w:rPr>
        <w:t xml:space="preserve">第九条 </w:t>
      </w:r>
      <w:r>
        <w:rPr>
          <w:spacing w:val="14"/>
        </w:rPr>
        <w:t>工业和信息化部通过建立国内协调列表（模板见</w:t>
      </w:r>
      <w:r>
        <w:rPr>
          <w:spacing w:val="18"/>
        </w:rPr>
        <w:t xml:space="preserve"> </w:t>
      </w:r>
      <w:r>
        <w:rPr>
          <w:spacing w:val="14"/>
        </w:rPr>
        <w:t>附件</w:t>
      </w:r>
      <w:r>
        <w:rPr>
          <w:rFonts w:ascii="Times New Roman" w:hAnsi="Times New Roman" w:eastAsia="Times New Roman" w:cs="Times New Roman"/>
          <w:spacing w:val="14"/>
        </w:rPr>
        <w:t>2</w:t>
      </w:r>
      <w:r>
        <w:rPr>
          <w:spacing w:val="14"/>
        </w:rPr>
        <w:t>）确立申报的卫星网络与协调地位较高的卫星网络以及</w:t>
      </w:r>
      <w:r>
        <w:rPr>
          <w:spacing w:val="13"/>
        </w:rPr>
        <w:t xml:space="preserve"> </w:t>
      </w:r>
      <w:r>
        <w:rPr>
          <w:spacing w:val="6"/>
        </w:rPr>
        <w:t>相关地面无线电台（站）之间的协调关系。</w:t>
      </w:r>
      <w:r>
        <w:rPr>
          <w:spacing w:val="-74"/>
        </w:rPr>
        <w:t xml:space="preserve"> </w:t>
      </w:r>
      <w:r>
        <w:rPr>
          <w:spacing w:val="6"/>
        </w:rPr>
        <w:t>申报单</w:t>
      </w:r>
      <w:r>
        <w:rPr>
          <w:spacing w:val="5"/>
        </w:rPr>
        <w:t>位应依据国</w:t>
      </w:r>
      <w:r>
        <w:t xml:space="preserve"> </w:t>
      </w:r>
      <w:r>
        <w:rPr>
          <w:spacing w:val="9"/>
        </w:rPr>
        <w:t>内协调列表确立的协调关系开展频率协调工作。</w:t>
      </w:r>
    </w:p>
    <w:p w14:paraId="725DCD1C">
      <w:pPr>
        <w:pStyle w:val="2"/>
        <w:spacing w:before="55" w:line="346" w:lineRule="auto"/>
        <w:ind w:left="2" w:firstLine="639"/>
      </w:pPr>
      <w:r>
        <w:rPr>
          <w:rFonts w:ascii="黑体" w:hAnsi="黑体" w:eastAsia="黑体" w:cs="黑体"/>
          <w:spacing w:val="11"/>
        </w:rPr>
        <w:t xml:space="preserve">第十条 </w:t>
      </w:r>
      <w:r>
        <w:rPr>
          <w:spacing w:val="11"/>
        </w:rPr>
        <w:t>除本办法另有规定的外，</w:t>
      </w:r>
      <w:r>
        <w:rPr>
          <w:spacing w:val="-62"/>
        </w:rPr>
        <w:t xml:space="preserve"> </w:t>
      </w:r>
      <w:r>
        <w:rPr>
          <w:spacing w:val="11"/>
        </w:rPr>
        <w:t>已申报的卫星网络和已</w:t>
      </w:r>
      <w:r>
        <w:t xml:space="preserve"> </w:t>
      </w:r>
      <w:r>
        <w:rPr>
          <w:spacing w:val="8"/>
        </w:rPr>
        <w:t>设地面无线电台（站</w:t>
      </w:r>
      <w:r>
        <w:rPr>
          <w:spacing w:val="18"/>
        </w:rPr>
        <w:t>），</w:t>
      </w:r>
      <w:r>
        <w:rPr>
          <w:spacing w:val="8"/>
        </w:rPr>
        <w:t>与拟申报的卫星网络存在频率部分或</w:t>
      </w:r>
      <w:r>
        <w:t xml:space="preserve"> </w:t>
      </w:r>
      <w:r>
        <w:rPr>
          <w:spacing w:val="4"/>
        </w:rPr>
        <w:t>全部重叠的，可提出国内协调需求，</w:t>
      </w:r>
      <w:r>
        <w:rPr>
          <w:spacing w:val="-78"/>
        </w:rPr>
        <w:t xml:space="preserve"> </w:t>
      </w:r>
      <w:r>
        <w:rPr>
          <w:spacing w:val="4"/>
        </w:rPr>
        <w:t>申请列入国内协调列表。</w:t>
      </w:r>
    </w:p>
    <w:p w14:paraId="4E1B44DE">
      <w:pPr>
        <w:pStyle w:val="2"/>
        <w:spacing w:before="55" w:line="347" w:lineRule="auto"/>
        <w:ind w:left="3" w:firstLine="638"/>
      </w:pPr>
      <w:r>
        <w:rPr>
          <w:rFonts w:ascii="黑体" w:hAnsi="黑体" w:eastAsia="黑体" w:cs="黑体"/>
          <w:spacing w:val="15"/>
        </w:rPr>
        <w:t xml:space="preserve">第十一条 </w:t>
      </w:r>
      <w:r>
        <w:rPr>
          <w:spacing w:val="15"/>
        </w:rPr>
        <w:t>卫星网络间的协调需求由卫星操作单</w:t>
      </w:r>
      <w:r>
        <w:rPr>
          <w:spacing w:val="14"/>
        </w:rPr>
        <w:t>位提出，</w:t>
      </w:r>
      <w:r>
        <w:t xml:space="preserve"> </w:t>
      </w:r>
      <w:r>
        <w:rPr>
          <w:spacing w:val="6"/>
        </w:rPr>
        <w:t>卫星网络与地面无线电台（站）的协调需求，</w:t>
      </w:r>
      <w:r>
        <w:rPr>
          <w:spacing w:val="-83"/>
        </w:rPr>
        <w:t xml:space="preserve"> </w:t>
      </w:r>
      <w:r>
        <w:rPr>
          <w:spacing w:val="6"/>
        </w:rPr>
        <w:t>由工业和信息化</w:t>
      </w:r>
      <w:r>
        <w:t xml:space="preserve"> </w:t>
      </w:r>
      <w:r>
        <w:rPr>
          <w:spacing w:val="8"/>
        </w:rPr>
        <w:t>部组织国家无线电频谱管理中心提出。</w:t>
      </w:r>
    </w:p>
    <w:p w14:paraId="5D31291C">
      <w:pPr>
        <w:pStyle w:val="2"/>
        <w:spacing w:before="55" w:line="221" w:lineRule="auto"/>
        <w:ind w:right="2"/>
        <w:jc w:val="right"/>
      </w:pPr>
      <w:r>
        <w:rPr>
          <w:spacing w:val="8"/>
        </w:rPr>
        <w:t>工业和信息化部通过电子邮件、函件或政务平台等方式向</w:t>
      </w:r>
    </w:p>
    <w:p w14:paraId="496BE752">
      <w:pPr>
        <w:spacing w:line="221" w:lineRule="auto"/>
        <w:sectPr>
          <w:footerReference r:id="rId7" w:type="default"/>
          <w:pgSz w:w="11906" w:h="16839"/>
          <w:pgMar w:top="1431" w:right="1586" w:bottom="1200" w:left="1710" w:header="0" w:footer="1013" w:gutter="0"/>
          <w:cols w:space="720" w:num="1"/>
        </w:sectPr>
      </w:pPr>
    </w:p>
    <w:p w14:paraId="6903D764">
      <w:pPr>
        <w:spacing w:line="259" w:lineRule="auto"/>
        <w:rPr>
          <w:rFonts w:ascii="Arial"/>
          <w:sz w:val="21"/>
        </w:rPr>
      </w:pPr>
    </w:p>
    <w:p w14:paraId="39880DD1">
      <w:pPr>
        <w:pStyle w:val="2"/>
        <w:spacing w:before="101" w:line="343" w:lineRule="auto"/>
        <w:ind w:left="14" w:right="156" w:hanging="13"/>
      </w:pPr>
      <w:r>
        <w:rPr>
          <w:spacing w:val="12"/>
        </w:rPr>
        <w:t>相关单位征集国内协调需求。征集时限为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10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12"/>
        </w:rPr>
        <w:t>个工作日</w:t>
      </w:r>
      <w:r>
        <w:rPr>
          <w:spacing w:val="11"/>
        </w:rPr>
        <w:t>。未在</w:t>
      </w:r>
      <w:r>
        <w:t xml:space="preserve"> </w:t>
      </w:r>
      <w:r>
        <w:rPr>
          <w:spacing w:val="8"/>
        </w:rPr>
        <w:t>规定时间内提出需求的，视为无国内协调需求。</w:t>
      </w:r>
    </w:p>
    <w:p w14:paraId="1BD6164B">
      <w:pPr>
        <w:pStyle w:val="2"/>
        <w:spacing w:before="47" w:line="351" w:lineRule="auto"/>
        <w:ind w:left="2" w:right="153" w:firstLine="640"/>
        <w:jc w:val="both"/>
      </w:pPr>
      <w:r>
        <w:rPr>
          <w:rFonts w:ascii="黑体" w:hAnsi="黑体" w:eastAsia="黑体" w:cs="黑体"/>
          <w:spacing w:val="14"/>
        </w:rPr>
        <w:t xml:space="preserve">第十二条 </w:t>
      </w:r>
      <w:r>
        <w:rPr>
          <w:spacing w:val="14"/>
        </w:rPr>
        <w:t>根据各单位反馈的协调需求，工业和信息化部</w:t>
      </w:r>
      <w:r>
        <w:rPr>
          <w:spacing w:val="18"/>
        </w:rPr>
        <w:t xml:space="preserve"> </w:t>
      </w:r>
      <w:r>
        <w:rPr>
          <w:spacing w:val="13"/>
        </w:rPr>
        <w:t>组织对拟建的国内协调列表进行汇总和复核，</w:t>
      </w:r>
      <w:r>
        <w:rPr>
          <w:spacing w:val="-87"/>
        </w:rPr>
        <w:t xml:space="preserve"> </w:t>
      </w:r>
      <w:r>
        <w:rPr>
          <w:spacing w:val="13"/>
        </w:rPr>
        <w:t>时间不超过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13"/>
        </w:rPr>
        <w:t>10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8"/>
        </w:rPr>
        <w:t>个工作日。复核完成后，工业和信息化部对拟建的国内协调列</w:t>
      </w:r>
      <w:r>
        <w:rPr>
          <w:spacing w:val="18"/>
        </w:rPr>
        <w:t xml:space="preserve"> </w:t>
      </w:r>
      <w:r>
        <w:rPr>
          <w:spacing w:val="11"/>
        </w:rPr>
        <w:t>表进行公示，公示期为</w:t>
      </w:r>
      <w:r>
        <w:rPr>
          <w:rFonts w:ascii="Times New Roman" w:hAnsi="Times New Roman" w:eastAsia="Times New Roman" w:cs="Times New Roman"/>
          <w:spacing w:val="11"/>
        </w:rPr>
        <w:t xml:space="preserve">5 </w:t>
      </w:r>
      <w:r>
        <w:rPr>
          <w:spacing w:val="11"/>
        </w:rPr>
        <w:t>个工作日。公示期结束后，工业和信</w:t>
      </w:r>
      <w:r>
        <w:rPr>
          <w:spacing w:val="6"/>
        </w:rPr>
        <w:t xml:space="preserve"> </w:t>
      </w:r>
      <w:r>
        <w:rPr>
          <w:spacing w:val="9"/>
        </w:rPr>
        <w:t>息化部正式向相关部门和单位发布国内协调列</w:t>
      </w:r>
      <w:r>
        <w:rPr>
          <w:spacing w:val="8"/>
        </w:rPr>
        <w:t>表。</w:t>
      </w:r>
    </w:p>
    <w:p w14:paraId="50034E23">
      <w:pPr>
        <w:pStyle w:val="2"/>
        <w:spacing w:before="54" w:line="351" w:lineRule="auto"/>
        <w:ind w:right="153" w:firstLine="643"/>
        <w:jc w:val="both"/>
      </w:pPr>
      <w:r>
        <w:rPr>
          <w:rFonts w:ascii="黑体" w:hAnsi="黑体" w:eastAsia="黑体" w:cs="黑体"/>
          <w:spacing w:val="14"/>
        </w:rPr>
        <w:t xml:space="preserve">第十三条 </w:t>
      </w:r>
      <w:r>
        <w:rPr>
          <w:spacing w:val="14"/>
        </w:rPr>
        <w:t>工业和信息化部组织建立国内协调负责人、联</w:t>
      </w:r>
      <w:r>
        <w:rPr>
          <w:spacing w:val="18"/>
        </w:rPr>
        <w:t xml:space="preserve"> </w:t>
      </w:r>
      <w:r>
        <w:rPr>
          <w:spacing w:val="6"/>
        </w:rPr>
        <w:t>络人台账信息，用于国内协调工作联络。</w:t>
      </w:r>
      <w:r>
        <w:rPr>
          <w:spacing w:val="-78"/>
        </w:rPr>
        <w:t xml:space="preserve"> </w:t>
      </w:r>
      <w:r>
        <w:rPr>
          <w:spacing w:val="6"/>
        </w:rPr>
        <w:t>台账信息变更的，相</w:t>
      </w:r>
      <w:r>
        <w:t xml:space="preserve"> </w:t>
      </w:r>
      <w:r>
        <w:rPr>
          <w:spacing w:val="9"/>
        </w:rPr>
        <w:t>关行业主管部门、卫星操作单位、地面无线电台（站</w:t>
      </w:r>
      <w:r>
        <w:rPr>
          <w:spacing w:val="8"/>
        </w:rPr>
        <w:t>）用户单</w:t>
      </w:r>
      <w:r>
        <w:t xml:space="preserve"> </w:t>
      </w:r>
      <w:r>
        <w:rPr>
          <w:spacing w:val="9"/>
        </w:rPr>
        <w:t>位应在一个月内将变更后的信息提交至工业和信</w:t>
      </w:r>
      <w:r>
        <w:rPr>
          <w:spacing w:val="8"/>
        </w:rPr>
        <w:t>息化部，由工</w:t>
      </w:r>
      <w:r>
        <w:t xml:space="preserve"> </w:t>
      </w:r>
      <w:r>
        <w:rPr>
          <w:spacing w:val="8"/>
        </w:rPr>
        <w:t>业和信息化部更新台账信息。</w:t>
      </w:r>
    </w:p>
    <w:p w14:paraId="251AAA6F">
      <w:pPr>
        <w:spacing w:before="209" w:line="226" w:lineRule="auto"/>
        <w:ind w:left="9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第三章  无需建立卫星网络国内协调关系的情形</w:t>
      </w:r>
    </w:p>
    <w:p w14:paraId="40DC78E5">
      <w:pPr>
        <w:spacing w:line="273" w:lineRule="auto"/>
        <w:rPr>
          <w:rFonts w:ascii="Arial"/>
          <w:sz w:val="21"/>
        </w:rPr>
      </w:pPr>
    </w:p>
    <w:p w14:paraId="7D90AC54">
      <w:pPr>
        <w:pStyle w:val="2"/>
        <w:spacing w:before="101" w:line="340" w:lineRule="auto"/>
        <w:ind w:left="18" w:firstLine="624"/>
      </w:pPr>
      <w:r>
        <w:rPr>
          <w:rFonts w:ascii="黑体" w:hAnsi="黑体" w:eastAsia="黑体" w:cs="黑体"/>
          <w:spacing w:val="8"/>
        </w:rPr>
        <w:t xml:space="preserve">第十四条 </w:t>
      </w:r>
      <w:r>
        <w:rPr>
          <w:spacing w:val="8"/>
        </w:rPr>
        <w:t>对于卫星地球探测（无源）、空间研究（无源）</w:t>
      </w:r>
      <w:r>
        <w:rPr>
          <w:spacing w:val="7"/>
        </w:rPr>
        <w:t xml:space="preserve"> </w:t>
      </w:r>
      <w:r>
        <w:rPr>
          <w:spacing w:val="8"/>
        </w:rPr>
        <w:t>业务，无需建立国内协调列表及开展国内协调。</w:t>
      </w:r>
    </w:p>
    <w:p w14:paraId="5077EC30">
      <w:pPr>
        <w:pStyle w:val="2"/>
        <w:spacing w:before="58" w:line="340" w:lineRule="auto"/>
        <w:ind w:left="11" w:right="156" w:firstLine="632"/>
      </w:pPr>
      <w:r>
        <w:rPr>
          <w:rFonts w:ascii="黑体" w:hAnsi="黑体" w:eastAsia="黑体" w:cs="黑体"/>
          <w:spacing w:val="14"/>
        </w:rPr>
        <w:t xml:space="preserve">第十五条 </w:t>
      </w:r>
      <w:r>
        <w:rPr>
          <w:spacing w:val="14"/>
        </w:rPr>
        <w:t>符合下列条件之一的卫星网络，无需作为协调</w:t>
      </w:r>
      <w:r>
        <w:rPr>
          <w:spacing w:val="18"/>
        </w:rPr>
        <w:t xml:space="preserve"> </w:t>
      </w:r>
      <w:r>
        <w:rPr>
          <w:spacing w:val="8"/>
        </w:rPr>
        <w:t>对象列入已建立的国内协调列表及开展国内协调：</w:t>
      </w:r>
    </w:p>
    <w:p w14:paraId="559D7115">
      <w:pPr>
        <w:pStyle w:val="2"/>
        <w:spacing w:before="58" w:line="290" w:lineRule="auto"/>
        <w:ind w:left="42" w:right="156" w:firstLine="593"/>
      </w:pPr>
      <w:r>
        <w:rPr>
          <w:spacing w:val="6"/>
        </w:rPr>
        <w:t>（</w:t>
      </w:r>
      <w:r>
        <w:rPr>
          <w:spacing w:val="-79"/>
        </w:rPr>
        <w:t xml:space="preserve"> </w:t>
      </w:r>
      <w:r>
        <w:rPr>
          <w:spacing w:val="6"/>
        </w:rPr>
        <w:t>一）对于静止轨道与静止轨道卫星网络之间</w:t>
      </w:r>
      <w:r>
        <w:rPr>
          <w:spacing w:val="5"/>
        </w:rPr>
        <w:t>，在《无线</w:t>
      </w:r>
      <w:r>
        <w:t xml:space="preserve"> </w:t>
      </w:r>
      <w:r>
        <w:rPr>
          <w:spacing w:val="5"/>
        </w:rPr>
        <w:t>电规则》规定的协调弧以外的；</w:t>
      </w:r>
    </w:p>
    <w:p w14:paraId="3662E60A">
      <w:pPr>
        <w:pStyle w:val="2"/>
        <w:spacing w:before="229" w:line="312" w:lineRule="auto"/>
        <w:ind w:left="8" w:right="152" w:firstLine="626"/>
      </w:pPr>
      <w:r>
        <w:rPr>
          <w:spacing w:val="6"/>
        </w:rPr>
        <w:t>（</w:t>
      </w:r>
      <w:r>
        <w:rPr>
          <w:spacing w:val="-82"/>
        </w:rPr>
        <w:t xml:space="preserve"> </w:t>
      </w:r>
      <w:r>
        <w:rPr>
          <w:spacing w:val="6"/>
        </w:rPr>
        <w:t>二）对于非静止轨道卫星固定业务与静止轨道卫星</w:t>
      </w:r>
      <w:r>
        <w:rPr>
          <w:spacing w:val="5"/>
        </w:rPr>
        <w:t>固定</w:t>
      </w:r>
      <w:r>
        <w:t xml:space="preserve"> </w:t>
      </w:r>
      <w:r>
        <w:rPr>
          <w:spacing w:val="5"/>
        </w:rPr>
        <w:t>业务、卫星广播业务卫星网络之间，符合《无线电规则》第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22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4"/>
        </w:rPr>
        <w:t>条规定的；</w:t>
      </w:r>
    </w:p>
    <w:p w14:paraId="43930399">
      <w:pPr>
        <w:spacing w:line="312" w:lineRule="auto"/>
        <w:sectPr>
          <w:footerReference r:id="rId8" w:type="default"/>
          <w:pgSz w:w="11906" w:h="16839"/>
          <w:pgMar w:top="1431" w:right="1432" w:bottom="1200" w:left="1708" w:header="0" w:footer="1013" w:gutter="0"/>
          <w:cols w:space="720" w:num="1"/>
        </w:sectPr>
      </w:pPr>
    </w:p>
    <w:p w14:paraId="56D28334">
      <w:pPr>
        <w:spacing w:line="264" w:lineRule="auto"/>
        <w:rPr>
          <w:rFonts w:ascii="Arial"/>
          <w:sz w:val="21"/>
        </w:rPr>
      </w:pPr>
    </w:p>
    <w:p w14:paraId="174D51D4">
      <w:pPr>
        <w:pStyle w:val="2"/>
        <w:spacing w:before="100" w:line="330" w:lineRule="auto"/>
        <w:ind w:left="6" w:right="74" w:firstLine="626"/>
      </w:pPr>
      <w:r>
        <w:rPr>
          <w:spacing w:val="1"/>
        </w:rPr>
        <w:t>（</w:t>
      </w:r>
      <w:r>
        <w:rPr>
          <w:spacing w:val="-58"/>
        </w:rPr>
        <w:t xml:space="preserve"> </w:t>
      </w:r>
      <w:r>
        <w:rPr>
          <w:spacing w:val="1"/>
        </w:rPr>
        <w:t>三）在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 xml:space="preserve">8025-8400 </w:t>
      </w:r>
      <w:r>
        <w:rPr>
          <w:rFonts w:ascii="Times New Roman" w:hAnsi="Times New Roman" w:eastAsia="Times New Roman" w:cs="Times New Roman"/>
        </w:rPr>
        <w:t>MHz</w:t>
      </w:r>
      <w:r>
        <w:rPr>
          <w:rFonts w:ascii="Times New Roman" w:hAnsi="Times New Roman" w:eastAsia="Times New Roman" w:cs="Times New Roman"/>
          <w:spacing w:val="34"/>
          <w:w w:val="101"/>
        </w:rPr>
        <w:t xml:space="preserve"> </w:t>
      </w:r>
      <w:r>
        <w:rPr>
          <w:spacing w:val="1"/>
        </w:rPr>
        <w:t>频段，非静止轨道卫星地球探测</w:t>
      </w:r>
      <w:r>
        <w:t xml:space="preserve"> </w:t>
      </w:r>
      <w:r>
        <w:rPr>
          <w:spacing w:val="6"/>
        </w:rPr>
        <w:t>业务（</w:t>
      </w:r>
      <w:r>
        <w:rPr>
          <w:spacing w:val="-72"/>
        </w:rPr>
        <w:t xml:space="preserve"> </w:t>
      </w:r>
      <w:r>
        <w:rPr>
          <w:spacing w:val="6"/>
        </w:rPr>
        <w:t>空对地）卫星网络与静止轨道卫星固定业务（地对空）</w:t>
      </w:r>
      <w:r>
        <w:t xml:space="preserve"> </w:t>
      </w:r>
      <w:r>
        <w:rPr>
          <w:spacing w:val="8"/>
        </w:rPr>
        <w:t>和卫星气象业务（地对空）反向应用，非静止轨道卫星正常工</w:t>
      </w:r>
      <w:r>
        <w:rPr>
          <w:spacing w:val="12"/>
        </w:rPr>
        <w:t xml:space="preserve"> </w:t>
      </w:r>
      <w:r>
        <w:rPr>
          <w:spacing w:val="8"/>
        </w:rPr>
        <w:t>作状态下，到达静止轨道的最大功率通量密度满足《无线电规</w:t>
      </w:r>
      <w:r>
        <w:rPr>
          <w:spacing w:val="12"/>
        </w:rPr>
        <w:t xml:space="preserve"> </w:t>
      </w:r>
      <w:r>
        <w:rPr>
          <w:spacing w:val="5"/>
        </w:rPr>
        <w:t>则》第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22.5 </w:t>
      </w:r>
      <w:r>
        <w:rPr>
          <w:spacing w:val="5"/>
        </w:rPr>
        <w:t>款限值的；</w:t>
      </w:r>
    </w:p>
    <w:p w14:paraId="59FEDD77">
      <w:pPr>
        <w:pStyle w:val="2"/>
        <w:spacing w:before="225" w:line="291" w:lineRule="auto"/>
        <w:ind w:left="640" w:hanging="7"/>
      </w:pPr>
      <w:r>
        <w:rPr>
          <w:spacing w:val="-4"/>
        </w:rPr>
        <w:t>（</w:t>
      </w:r>
      <w:r>
        <w:rPr>
          <w:spacing w:val="-48"/>
        </w:rPr>
        <w:t xml:space="preserve"> </w:t>
      </w:r>
      <w:r>
        <w:rPr>
          <w:spacing w:val="-4"/>
        </w:rPr>
        <w:t>四）符合《无线电规则》规定的其他无需协调的情形的。</w:t>
      </w:r>
      <w:r>
        <w:t xml:space="preserve"> </w:t>
      </w:r>
      <w:r>
        <w:rPr>
          <w:rFonts w:ascii="黑体" w:hAnsi="黑体" w:eastAsia="黑体" w:cs="黑体"/>
          <w:spacing w:val="12"/>
        </w:rPr>
        <w:t xml:space="preserve">第十六条 </w:t>
      </w:r>
      <w:r>
        <w:rPr>
          <w:spacing w:val="12"/>
        </w:rPr>
        <w:t>符合下列条件之一的，地面无线电台（</w:t>
      </w:r>
      <w:r>
        <w:rPr>
          <w:spacing w:val="-73"/>
        </w:rPr>
        <w:t xml:space="preserve"> </w:t>
      </w:r>
      <w:r>
        <w:rPr>
          <w:spacing w:val="12"/>
        </w:rPr>
        <w:t>站）无</w:t>
      </w:r>
    </w:p>
    <w:p w14:paraId="19B5A0E1">
      <w:pPr>
        <w:pStyle w:val="2"/>
        <w:spacing w:before="224" w:line="220" w:lineRule="auto"/>
        <w:ind w:left="20"/>
      </w:pPr>
      <w:r>
        <w:rPr>
          <w:spacing w:val="8"/>
        </w:rPr>
        <w:t>需作为协调对象列入国内协调列表及开展国内协调：</w:t>
      </w:r>
    </w:p>
    <w:p w14:paraId="27046951">
      <w:pPr>
        <w:pStyle w:val="2"/>
        <w:spacing w:before="229" w:line="289" w:lineRule="auto"/>
        <w:ind w:right="91" w:firstLine="633"/>
      </w:pPr>
      <w:r>
        <w:rPr>
          <w:spacing w:val="6"/>
        </w:rPr>
        <w:t>（</w:t>
      </w:r>
      <w:r>
        <w:rPr>
          <w:spacing w:val="-79"/>
        </w:rPr>
        <w:t xml:space="preserve"> </w:t>
      </w:r>
      <w:r>
        <w:rPr>
          <w:spacing w:val="6"/>
        </w:rPr>
        <w:t>一）未获得地面无线电台（站）执照的，但</w:t>
      </w:r>
      <w:r>
        <w:rPr>
          <w:spacing w:val="5"/>
        </w:rPr>
        <w:t>无线电管理</w:t>
      </w:r>
      <w:r>
        <w:t xml:space="preserve"> </w:t>
      </w:r>
      <w:r>
        <w:rPr>
          <w:spacing w:val="8"/>
        </w:rPr>
        <w:t>机构已受理许可申请的除外；</w:t>
      </w:r>
    </w:p>
    <w:p w14:paraId="471B1585">
      <w:pPr>
        <w:pStyle w:val="2"/>
        <w:spacing w:before="229" w:line="222" w:lineRule="auto"/>
        <w:ind w:left="633"/>
      </w:pPr>
      <w:r>
        <w:rPr>
          <w:spacing w:val="4"/>
        </w:rPr>
        <w:t>（</w:t>
      </w:r>
      <w:r>
        <w:rPr>
          <w:spacing w:val="-63"/>
        </w:rPr>
        <w:t xml:space="preserve"> </w:t>
      </w:r>
      <w:r>
        <w:rPr>
          <w:spacing w:val="4"/>
        </w:rPr>
        <w:t>二）卫星网络满足《无线电规则》第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21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4"/>
        </w:rPr>
        <w:t>条限值的；</w:t>
      </w:r>
    </w:p>
    <w:p w14:paraId="1BA02DFB">
      <w:pPr>
        <w:pStyle w:val="2"/>
        <w:spacing w:before="227" w:line="291" w:lineRule="auto"/>
        <w:ind w:left="640" w:hanging="7"/>
      </w:pPr>
      <w:r>
        <w:rPr>
          <w:spacing w:val="-3"/>
        </w:rPr>
        <w:t>（</w:t>
      </w:r>
      <w:r>
        <w:rPr>
          <w:spacing w:val="-74"/>
        </w:rPr>
        <w:t xml:space="preserve"> </w:t>
      </w:r>
      <w:r>
        <w:rPr>
          <w:spacing w:val="-3"/>
        </w:rPr>
        <w:t>三）符合《无线电规则》规定的其他无需协调的情形的。</w:t>
      </w:r>
      <w:r>
        <w:t xml:space="preserve"> </w:t>
      </w:r>
      <w:r>
        <w:rPr>
          <w:rFonts w:ascii="黑体" w:hAnsi="黑体" w:eastAsia="黑体" w:cs="黑体"/>
          <w:spacing w:val="14"/>
        </w:rPr>
        <w:t xml:space="preserve">第十七条 </w:t>
      </w:r>
      <w:r>
        <w:rPr>
          <w:spacing w:val="14"/>
        </w:rPr>
        <w:t>若协调单位认为，按照本办法未列入国内协调</w:t>
      </w:r>
    </w:p>
    <w:p w14:paraId="201515B0">
      <w:pPr>
        <w:pStyle w:val="2"/>
        <w:spacing w:before="222" w:line="350" w:lineRule="auto"/>
        <w:ind w:left="12" w:right="89" w:firstLine="5"/>
        <w:jc w:val="both"/>
      </w:pPr>
      <w:r>
        <w:rPr>
          <w:spacing w:val="8"/>
        </w:rPr>
        <w:t>列表的卫星网络，仍需要开展国内协调的，应在第十一条规定</w:t>
      </w:r>
      <w:r>
        <w:rPr>
          <w:spacing w:val="3"/>
        </w:rPr>
        <w:t xml:space="preserve"> </w:t>
      </w:r>
      <w:r>
        <w:rPr>
          <w:spacing w:val="20"/>
        </w:rPr>
        <w:t>的时限内依据国际电联相关规则和建议书书面申请并提供频</w:t>
      </w:r>
      <w:r>
        <w:rPr>
          <w:spacing w:val="12"/>
        </w:rPr>
        <w:t xml:space="preserve"> </w:t>
      </w:r>
      <w:r>
        <w:rPr>
          <w:spacing w:val="8"/>
        </w:rPr>
        <w:t>率兼容分析报告或相关测试数据等，经工业和信息化部确认后</w:t>
      </w:r>
      <w:r>
        <w:rPr>
          <w:spacing w:val="6"/>
        </w:rPr>
        <w:t xml:space="preserve"> </w:t>
      </w:r>
      <w:r>
        <w:rPr>
          <w:spacing w:val="7"/>
        </w:rPr>
        <w:t>可补充列入国内协调列表。</w:t>
      </w:r>
    </w:p>
    <w:p w14:paraId="502C7A41">
      <w:pPr>
        <w:spacing w:before="206" w:line="226" w:lineRule="auto"/>
        <w:ind w:left="191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第四章  卫星网络国内协调的开展</w:t>
      </w:r>
    </w:p>
    <w:p w14:paraId="71CCBC02">
      <w:pPr>
        <w:spacing w:line="274" w:lineRule="auto"/>
        <w:rPr>
          <w:rFonts w:ascii="Arial"/>
          <w:sz w:val="21"/>
        </w:rPr>
      </w:pPr>
    </w:p>
    <w:p w14:paraId="36FB07D2">
      <w:pPr>
        <w:pStyle w:val="2"/>
        <w:spacing w:before="101" w:line="349" w:lineRule="auto"/>
        <w:ind w:left="7" w:right="89" w:firstLine="633"/>
        <w:jc w:val="both"/>
      </w:pPr>
      <w:r>
        <w:rPr>
          <w:rFonts w:ascii="黑体" w:hAnsi="黑体" w:eastAsia="黑体" w:cs="黑体"/>
          <w:spacing w:val="11"/>
        </w:rPr>
        <w:t xml:space="preserve">第十八条 </w:t>
      </w:r>
      <w:r>
        <w:rPr>
          <w:spacing w:val="11"/>
        </w:rPr>
        <w:t>国内协调列表建立后，</w:t>
      </w:r>
      <w:r>
        <w:rPr>
          <w:spacing w:val="-62"/>
        </w:rPr>
        <w:t xml:space="preserve"> </w:t>
      </w:r>
      <w:r>
        <w:rPr>
          <w:spacing w:val="11"/>
        </w:rPr>
        <w:t>申报单位应主动向协调</w:t>
      </w:r>
      <w:r>
        <w:t xml:space="preserve"> </w:t>
      </w:r>
      <w:r>
        <w:rPr>
          <w:spacing w:val="8"/>
        </w:rPr>
        <w:t>单位提供项目情况和主要技术参数，以及卫星网络资料频率兼</w:t>
      </w:r>
      <w:r>
        <w:rPr>
          <w:spacing w:val="11"/>
        </w:rPr>
        <w:t xml:space="preserve"> </w:t>
      </w:r>
      <w:r>
        <w:rPr>
          <w:spacing w:val="7"/>
        </w:rPr>
        <w:t>容分析报告等，协调单位应在收到完整材料后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 xml:space="preserve">5 </w:t>
      </w:r>
      <w:r>
        <w:rPr>
          <w:spacing w:val="7"/>
        </w:rPr>
        <w:t>个工作日确认</w:t>
      </w:r>
      <w:r>
        <w:t xml:space="preserve"> </w:t>
      </w:r>
      <w:r>
        <w:rPr>
          <w:spacing w:val="6"/>
        </w:rPr>
        <w:t>收妥上述材料。未按时收到确认的，</w:t>
      </w:r>
      <w:r>
        <w:rPr>
          <w:spacing w:val="-88"/>
        </w:rPr>
        <w:t xml:space="preserve"> </w:t>
      </w:r>
      <w:r>
        <w:rPr>
          <w:spacing w:val="6"/>
        </w:rPr>
        <w:t>申报单位应予以提醒，收</w:t>
      </w:r>
    </w:p>
    <w:p w14:paraId="7FC16090">
      <w:pPr>
        <w:spacing w:line="349" w:lineRule="auto"/>
        <w:sectPr>
          <w:footerReference r:id="rId9" w:type="default"/>
          <w:pgSz w:w="11906" w:h="16839"/>
          <w:pgMar w:top="1431" w:right="1497" w:bottom="1197" w:left="1711" w:header="0" w:footer="1013" w:gutter="0"/>
          <w:cols w:space="720" w:num="1"/>
        </w:sectPr>
      </w:pPr>
    </w:p>
    <w:p w14:paraId="6B56429D">
      <w:pPr>
        <w:spacing w:line="261" w:lineRule="auto"/>
        <w:rPr>
          <w:rFonts w:ascii="Arial"/>
          <w:sz w:val="21"/>
        </w:rPr>
      </w:pPr>
    </w:p>
    <w:p w14:paraId="6EC6F032">
      <w:pPr>
        <w:pStyle w:val="2"/>
        <w:spacing w:before="101" w:line="220" w:lineRule="auto"/>
        <w:ind w:left="3"/>
      </w:pPr>
      <w:r>
        <w:rPr>
          <w:spacing w:val="8"/>
        </w:rPr>
        <w:t>妥确认时间可延长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 xml:space="preserve">5 </w:t>
      </w:r>
      <w:r>
        <w:rPr>
          <w:spacing w:val="8"/>
        </w:rPr>
        <w:t>个工作日。逾期未确认的，视为已</w:t>
      </w:r>
      <w:r>
        <w:rPr>
          <w:spacing w:val="7"/>
        </w:rPr>
        <w:t>收妥。</w:t>
      </w:r>
    </w:p>
    <w:p w14:paraId="47169142">
      <w:pPr>
        <w:pStyle w:val="2"/>
        <w:spacing w:before="232" w:line="352" w:lineRule="auto"/>
        <w:ind w:left="2" w:firstLine="635"/>
      </w:pPr>
      <w:r>
        <w:rPr>
          <w:rFonts w:ascii="黑体" w:hAnsi="黑体" w:eastAsia="黑体" w:cs="黑体"/>
          <w:spacing w:val="14"/>
        </w:rPr>
        <w:t xml:space="preserve">第十九条 </w:t>
      </w:r>
      <w:r>
        <w:rPr>
          <w:spacing w:val="14"/>
        </w:rPr>
        <w:t>协调单位在收到申报单位的协调请求及相关材</w:t>
      </w:r>
      <w:r>
        <w:rPr>
          <w:spacing w:val="18"/>
        </w:rPr>
        <w:t xml:space="preserve"> </w:t>
      </w:r>
      <w:r>
        <w:rPr>
          <w:spacing w:val="8"/>
        </w:rPr>
        <w:t>料后，应积极开展磋商，在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 xml:space="preserve">2 </w:t>
      </w:r>
      <w:r>
        <w:rPr>
          <w:spacing w:val="8"/>
        </w:rPr>
        <w:t>个月内出具是否同意完成</w:t>
      </w:r>
      <w:r>
        <w:rPr>
          <w:spacing w:val="7"/>
        </w:rPr>
        <w:t>协调的</w:t>
      </w:r>
      <w:r>
        <w:t xml:space="preserve"> </w:t>
      </w:r>
      <w:r>
        <w:rPr>
          <w:spacing w:val="8"/>
        </w:rPr>
        <w:t>结论。不同意完成协调的，应提出详细的频率兼容技术分析意</w:t>
      </w:r>
      <w:r>
        <w:rPr>
          <w:spacing w:val="13"/>
        </w:rPr>
        <w:t xml:space="preserve"> </w:t>
      </w:r>
      <w:r>
        <w:rPr>
          <w:spacing w:val="8"/>
        </w:rPr>
        <w:t>见或相关测试报告。协调单位需申报单位补充或修改相关材料</w:t>
      </w:r>
      <w:r>
        <w:rPr>
          <w:spacing w:val="16"/>
        </w:rPr>
        <w:t xml:space="preserve"> </w:t>
      </w:r>
      <w:r>
        <w:rPr>
          <w:spacing w:val="8"/>
        </w:rPr>
        <w:t>的，可要求申报单位提供，反馈协调意见时间</w:t>
      </w:r>
      <w:r>
        <w:rPr>
          <w:spacing w:val="7"/>
        </w:rPr>
        <w:t>可一次性延长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rFonts w:ascii="Times New Roman" w:hAnsi="Times New Roman" w:eastAsia="Times New Roman" w:cs="Times New Roman"/>
        </w:rPr>
        <w:t xml:space="preserve">   </w:t>
      </w:r>
      <w:r>
        <w:t>个月。对于确有困难的，双方协商一致，可适当延长时限要求。</w:t>
      </w:r>
    </w:p>
    <w:p w14:paraId="2C8CB2C0">
      <w:pPr>
        <w:pStyle w:val="2"/>
        <w:spacing w:before="51" w:line="351" w:lineRule="auto"/>
        <w:ind w:right="91" w:firstLine="638"/>
      </w:pPr>
      <w:r>
        <w:rPr>
          <w:rFonts w:ascii="黑体" w:hAnsi="黑体" w:eastAsia="黑体" w:cs="黑体"/>
          <w:spacing w:val="11"/>
        </w:rPr>
        <w:t xml:space="preserve">第二十条 </w:t>
      </w:r>
      <w:r>
        <w:rPr>
          <w:spacing w:val="11"/>
        </w:rPr>
        <w:t>协调单位逾期未反馈协调意见的，</w:t>
      </w:r>
      <w:r>
        <w:rPr>
          <w:spacing w:val="-62"/>
        </w:rPr>
        <w:t xml:space="preserve"> </w:t>
      </w:r>
      <w:r>
        <w:rPr>
          <w:spacing w:val="11"/>
        </w:rPr>
        <w:t>申报单位可</w:t>
      </w:r>
      <w:r>
        <w:t xml:space="preserve"> </w:t>
      </w:r>
      <w:r>
        <w:rPr>
          <w:spacing w:val="8"/>
        </w:rPr>
        <w:t>发出协调提醒函件并抄报工业和信息化部。提醒函件发送后的</w:t>
      </w:r>
      <w:r>
        <w:rPr>
          <w:spacing w:val="16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 xml:space="preserve">1 </w:t>
      </w:r>
      <w:r>
        <w:rPr>
          <w:spacing w:val="8"/>
        </w:rPr>
        <w:t>个月内未收到反馈意见的，</w:t>
      </w:r>
      <w:r>
        <w:rPr>
          <w:spacing w:val="-70"/>
        </w:rPr>
        <w:t xml:space="preserve"> </w:t>
      </w:r>
      <w:r>
        <w:rPr>
          <w:spacing w:val="8"/>
        </w:rPr>
        <w:t>申报单位可发出第二封协调提醒</w:t>
      </w:r>
      <w:r>
        <w:t xml:space="preserve"> </w:t>
      </w:r>
      <w:r>
        <w:rPr>
          <w:spacing w:val="11"/>
        </w:rPr>
        <w:t>函件并抄报工业和信息化部，</w:t>
      </w:r>
      <w:r>
        <w:rPr>
          <w:rFonts w:ascii="Times New Roman" w:hAnsi="Times New Roman" w:eastAsia="Times New Roman" w:cs="Times New Roman"/>
          <w:spacing w:val="11"/>
        </w:rPr>
        <w:t xml:space="preserve">1 </w:t>
      </w:r>
      <w:r>
        <w:rPr>
          <w:spacing w:val="11"/>
        </w:rPr>
        <w:t>个月内仍未收到反馈意见的，</w:t>
      </w:r>
      <w:r>
        <w:rPr>
          <w:spacing w:val="1"/>
        </w:rPr>
        <w:t xml:space="preserve"> </w:t>
      </w:r>
      <w:r>
        <w:rPr>
          <w:spacing w:val="8"/>
        </w:rPr>
        <w:t>经工业和信息化部确认后，视为完成国内协调。</w:t>
      </w:r>
    </w:p>
    <w:p w14:paraId="0CD53395">
      <w:pPr>
        <w:pStyle w:val="2"/>
        <w:spacing w:before="50" w:line="347" w:lineRule="auto"/>
        <w:ind w:left="9" w:right="89" w:firstLine="628"/>
      </w:pPr>
      <w:r>
        <w:rPr>
          <w:rFonts w:ascii="黑体" w:hAnsi="黑体" w:eastAsia="黑体" w:cs="黑体"/>
          <w:spacing w:val="12"/>
        </w:rPr>
        <w:t>第二十一条</w:t>
      </w:r>
      <w:r>
        <w:rPr>
          <w:rFonts w:ascii="黑体" w:hAnsi="黑体" w:eastAsia="黑体" w:cs="黑体"/>
          <w:spacing w:val="80"/>
        </w:rPr>
        <w:t xml:space="preserve"> </w:t>
      </w:r>
      <w:r>
        <w:rPr>
          <w:spacing w:val="12"/>
        </w:rPr>
        <w:t>已列入国内协调列表但被国际电联删除的或</w:t>
      </w:r>
      <w:r>
        <w:t xml:space="preserve"> </w:t>
      </w:r>
      <w:r>
        <w:rPr>
          <w:spacing w:val="8"/>
        </w:rPr>
        <w:t xml:space="preserve">明确没有使用计划的卫星网络不再具有国内协调地位，无需继 </w:t>
      </w:r>
      <w:r>
        <w:rPr>
          <w:spacing w:val="5"/>
        </w:rPr>
        <w:t>续开展国内协调。</w:t>
      </w:r>
    </w:p>
    <w:p w14:paraId="44DB2877">
      <w:pPr>
        <w:spacing w:before="209" w:line="226" w:lineRule="auto"/>
        <w:ind w:left="190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第五章  卫星网络国内协调的完成</w:t>
      </w:r>
    </w:p>
    <w:p w14:paraId="2013A6BB">
      <w:pPr>
        <w:spacing w:line="271" w:lineRule="auto"/>
        <w:rPr>
          <w:rFonts w:ascii="Arial"/>
          <w:sz w:val="21"/>
        </w:rPr>
      </w:pPr>
    </w:p>
    <w:p w14:paraId="0B0B9BCF">
      <w:pPr>
        <w:pStyle w:val="2"/>
        <w:spacing w:before="101" w:line="350" w:lineRule="auto"/>
        <w:ind w:left="3" w:right="89" w:firstLine="634"/>
        <w:jc w:val="both"/>
      </w:pPr>
      <w:r>
        <w:rPr>
          <w:rFonts w:ascii="黑体" w:hAnsi="黑体" w:eastAsia="黑体" w:cs="黑体"/>
          <w:spacing w:val="14"/>
        </w:rPr>
        <w:t xml:space="preserve">第二十二条 </w:t>
      </w:r>
      <w:r>
        <w:rPr>
          <w:spacing w:val="14"/>
        </w:rPr>
        <w:t>卫星网络可通过依规则自动完成、双方协议</w:t>
      </w:r>
      <w:r>
        <w:rPr>
          <w:spacing w:val="18"/>
        </w:rPr>
        <w:t xml:space="preserve"> </w:t>
      </w:r>
      <w:r>
        <w:rPr>
          <w:spacing w:val="8"/>
        </w:rPr>
        <w:t>完成、第三方评估完成、主管部门会议完成、主管部门函件征</w:t>
      </w:r>
      <w:r>
        <w:rPr>
          <w:spacing w:val="14"/>
        </w:rPr>
        <w:t xml:space="preserve"> </w:t>
      </w:r>
      <w:r>
        <w:rPr>
          <w:spacing w:val="8"/>
        </w:rPr>
        <w:t>求意见完成等五种形式之一完成国内协调。鼓励优先采用双方</w:t>
      </w:r>
      <w:r>
        <w:rPr>
          <w:spacing w:val="12"/>
        </w:rPr>
        <w:t xml:space="preserve"> </w:t>
      </w:r>
      <w:r>
        <w:rPr>
          <w:spacing w:val="7"/>
        </w:rPr>
        <w:t>协议完成协调的形式。</w:t>
      </w:r>
    </w:p>
    <w:p w14:paraId="6BDC1E99">
      <w:pPr>
        <w:pStyle w:val="2"/>
        <w:spacing w:before="52" w:line="340" w:lineRule="auto"/>
        <w:ind w:left="12" w:right="91" w:firstLine="625"/>
      </w:pPr>
      <w:r>
        <w:rPr>
          <w:rFonts w:ascii="黑体" w:hAnsi="黑体" w:eastAsia="黑体" w:cs="黑体"/>
          <w:spacing w:val="14"/>
        </w:rPr>
        <w:t xml:space="preserve">第二十三条 </w:t>
      </w:r>
      <w:r>
        <w:rPr>
          <w:spacing w:val="14"/>
        </w:rPr>
        <w:t>对于国内协调列表中的卫星网络，符合下列</w:t>
      </w:r>
      <w:r>
        <w:rPr>
          <w:spacing w:val="18"/>
        </w:rPr>
        <w:t xml:space="preserve"> </w:t>
      </w:r>
      <w:r>
        <w:rPr>
          <w:spacing w:val="8"/>
        </w:rPr>
        <w:t>情形之一的，可视为依规则自动完成国内协调。</w:t>
      </w:r>
    </w:p>
    <w:p w14:paraId="32F4486A">
      <w:pPr>
        <w:spacing w:line="340" w:lineRule="auto"/>
        <w:sectPr>
          <w:footerReference r:id="rId10" w:type="default"/>
          <w:pgSz w:w="11906" w:h="16839"/>
          <w:pgMar w:top="1431" w:right="1497" w:bottom="1200" w:left="1714" w:header="0" w:footer="1013" w:gutter="0"/>
          <w:cols w:space="720" w:num="1"/>
        </w:sectPr>
      </w:pPr>
    </w:p>
    <w:p w14:paraId="04432584">
      <w:pPr>
        <w:spacing w:line="261" w:lineRule="auto"/>
        <w:rPr>
          <w:rFonts w:ascii="Arial"/>
          <w:sz w:val="21"/>
        </w:rPr>
      </w:pPr>
    </w:p>
    <w:p w14:paraId="716FF674">
      <w:pPr>
        <w:pStyle w:val="2"/>
        <w:spacing w:before="100" w:line="351" w:lineRule="auto"/>
        <w:ind w:right="76" w:firstLine="633"/>
        <w:jc w:val="both"/>
      </w:pPr>
      <w:r>
        <w:rPr>
          <w:spacing w:val="-3"/>
        </w:rPr>
        <w:t>（</w:t>
      </w:r>
      <w:r>
        <w:rPr>
          <w:spacing w:val="-74"/>
        </w:rPr>
        <w:t xml:space="preserve"> </w:t>
      </w:r>
      <w:r>
        <w:rPr>
          <w:spacing w:val="-3"/>
        </w:rPr>
        <w:t>一）在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7235-7250 MHz</w:t>
      </w:r>
      <w:r>
        <w:rPr>
          <w:spacing w:val="-3"/>
        </w:rPr>
        <w:t>（地对空）、</w:t>
      </w:r>
      <w:r>
        <w:rPr>
          <w:rFonts w:ascii="Times New Roman" w:hAnsi="Times New Roman" w:eastAsia="Times New Roman" w:cs="Times New Roman"/>
          <w:spacing w:val="-3"/>
        </w:rPr>
        <w:t>8025-8400 MHz</w:t>
      </w:r>
      <w:r>
        <w:rPr>
          <w:spacing w:val="-3"/>
        </w:rPr>
        <w:t>（</w:t>
      </w:r>
      <w:r>
        <w:rPr>
          <w:spacing w:val="-73"/>
        </w:rPr>
        <w:t xml:space="preserve"> </w:t>
      </w:r>
      <w:r>
        <w:rPr>
          <w:spacing w:val="-3"/>
        </w:rPr>
        <w:t>空</w:t>
      </w:r>
      <w:r>
        <w:t xml:space="preserve"> </w:t>
      </w:r>
      <w:r>
        <w:rPr>
          <w:spacing w:val="10"/>
        </w:rPr>
        <w:t>对地）和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25.5-27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rFonts w:ascii="Times New Roman" w:hAnsi="Times New Roman" w:eastAsia="Times New Roman" w:cs="Times New Roman"/>
        </w:rPr>
        <w:t>GHz</w:t>
      </w:r>
      <w:r>
        <w:rPr>
          <w:spacing w:val="10"/>
        </w:rPr>
        <w:t>（</w:t>
      </w:r>
      <w:r>
        <w:rPr>
          <w:spacing w:val="-68"/>
        </w:rPr>
        <w:t xml:space="preserve"> </w:t>
      </w:r>
      <w:r>
        <w:rPr>
          <w:spacing w:val="10"/>
        </w:rPr>
        <w:t>空对地）频段，对于非</w:t>
      </w:r>
      <w:r>
        <w:rPr>
          <w:spacing w:val="9"/>
        </w:rPr>
        <w:t>静止轨道卫星</w:t>
      </w:r>
      <w:r>
        <w:t xml:space="preserve"> </w:t>
      </w:r>
      <w:r>
        <w:rPr>
          <w:spacing w:val="8"/>
        </w:rPr>
        <w:t>地球探测业务卫星网络数据传输和测控链路，满足以下条件之</w:t>
      </w:r>
      <w:r>
        <w:rPr>
          <w:spacing w:val="18"/>
        </w:rPr>
        <w:t xml:space="preserve"> </w:t>
      </w:r>
      <w:r>
        <w:rPr>
          <w:spacing w:val="2"/>
        </w:rPr>
        <w:t>一的：</w:t>
      </w:r>
    </w:p>
    <w:p w14:paraId="26844CE0">
      <w:pPr>
        <w:pStyle w:val="2"/>
        <w:spacing w:before="42" w:line="341" w:lineRule="auto"/>
        <w:ind w:left="12" w:right="147" w:firstLine="653"/>
      </w:pPr>
      <w:r>
        <w:rPr>
          <w:rFonts w:ascii="Times New Roman" w:hAnsi="Times New Roman" w:eastAsia="Times New Roman" w:cs="Times New Roman"/>
          <w:spacing w:val="7"/>
        </w:rPr>
        <w:t>1.</w:t>
      </w:r>
      <w:r>
        <w:rPr>
          <w:spacing w:val="7"/>
        </w:rPr>
        <w:t>若双方均为太阳同步轨道，且轨道倾角相差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3 </w:t>
      </w:r>
      <w:r>
        <w:rPr>
          <w:spacing w:val="6"/>
        </w:rPr>
        <w:t>度以内、</w:t>
      </w:r>
      <w:r>
        <w:t xml:space="preserve"> </w:t>
      </w:r>
      <w:r>
        <w:rPr>
          <w:spacing w:val="6"/>
        </w:rPr>
        <w:t>轨道升交点赤经在相同历元时刻相差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10 </w:t>
      </w:r>
      <w:r>
        <w:rPr>
          <w:spacing w:val="6"/>
        </w:rPr>
        <w:t>度以上的；</w:t>
      </w:r>
    </w:p>
    <w:p w14:paraId="3723A5F2">
      <w:pPr>
        <w:pStyle w:val="2"/>
        <w:spacing w:before="56" w:line="348" w:lineRule="auto"/>
        <w:ind w:left="1" w:right="82" w:firstLine="633"/>
      </w:pPr>
      <w:r>
        <w:rPr>
          <w:rFonts w:ascii="Times New Roman" w:hAnsi="Times New Roman" w:eastAsia="Times New Roman" w:cs="Times New Roman"/>
          <w:spacing w:val="11"/>
        </w:rPr>
        <w:t>2.</w:t>
      </w:r>
      <w:r>
        <w:rPr>
          <w:spacing w:val="11"/>
        </w:rPr>
        <w:t>对于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X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11"/>
        </w:rPr>
        <w:t>频段，双方数据传输和测控站地理</w:t>
      </w:r>
      <w:r>
        <w:rPr>
          <w:spacing w:val="10"/>
        </w:rPr>
        <w:t>隔离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2000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10"/>
        </w:rPr>
        <w:t>公</w:t>
      </w:r>
      <w:r>
        <w:t xml:space="preserve"> </w:t>
      </w:r>
      <w:r>
        <w:rPr>
          <w:spacing w:val="-5"/>
        </w:rPr>
        <w:t>里以上的；对于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Ka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5"/>
        </w:rPr>
        <w:t>频段，双方数据传输和测控站地理隔离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1000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6"/>
        </w:rPr>
        <w:t>公里以上的。</w:t>
      </w:r>
    </w:p>
    <w:p w14:paraId="69F5CE9F">
      <w:pPr>
        <w:pStyle w:val="2"/>
        <w:spacing w:before="42" w:line="324" w:lineRule="auto"/>
        <w:ind w:right="81" w:firstLine="633"/>
      </w:pPr>
      <w:r>
        <w:rPr>
          <w:spacing w:val="4"/>
        </w:rPr>
        <w:t>（</w:t>
      </w:r>
      <w:r>
        <w:rPr>
          <w:spacing w:val="-81"/>
        </w:rPr>
        <w:t xml:space="preserve"> </w:t>
      </w:r>
      <w:r>
        <w:rPr>
          <w:spacing w:val="4"/>
        </w:rPr>
        <w:t>二）在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9.2-10.4 </w:t>
      </w:r>
      <w:r>
        <w:rPr>
          <w:rFonts w:ascii="Times New Roman" w:hAnsi="Times New Roman" w:eastAsia="Times New Roman" w:cs="Times New Roman"/>
        </w:rPr>
        <w:t>GHz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4"/>
        </w:rPr>
        <w:t>频段星载合成孔径</w:t>
      </w:r>
      <w:r>
        <w:rPr>
          <w:spacing w:val="3"/>
        </w:rPr>
        <w:t>雷达与地面无线</w:t>
      </w:r>
      <w:r>
        <w:t xml:space="preserve"> </w:t>
      </w:r>
      <w:r>
        <w:rPr>
          <w:spacing w:val="9"/>
        </w:rPr>
        <w:t>电测定业务电台（站）之间，符合工业和信息化部有</w:t>
      </w:r>
      <w:r>
        <w:rPr>
          <w:spacing w:val="8"/>
        </w:rPr>
        <w:t>关优化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X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8"/>
        </w:rPr>
        <w:t>频段卫星地球探测业务（有源）与无线电测定业务频率协调程</w:t>
      </w:r>
      <w:r>
        <w:rPr>
          <w:spacing w:val="18"/>
        </w:rPr>
        <w:t xml:space="preserve"> </w:t>
      </w:r>
      <w:r>
        <w:rPr>
          <w:spacing w:val="5"/>
        </w:rPr>
        <w:t>序规定的。</w:t>
      </w:r>
    </w:p>
    <w:p w14:paraId="06842AA9">
      <w:pPr>
        <w:pStyle w:val="2"/>
        <w:spacing w:before="228" w:line="288" w:lineRule="auto"/>
        <w:ind w:left="665" w:right="1111" w:hanging="32"/>
      </w:pPr>
      <w:r>
        <w:rPr>
          <w:spacing w:val="2"/>
        </w:rPr>
        <w:t>（</w:t>
      </w:r>
      <w:r>
        <w:rPr>
          <w:spacing w:val="-75"/>
        </w:rPr>
        <w:t xml:space="preserve"> </w:t>
      </w:r>
      <w:r>
        <w:rPr>
          <w:spacing w:val="2"/>
        </w:rPr>
        <w:t>三）对于短期试验卫星，同时满足以下条件的：</w:t>
      </w:r>
      <w:r>
        <w:t xml:space="preserve"> </w:t>
      </w:r>
      <w:r>
        <w:rPr>
          <w:rFonts w:ascii="Times New Roman" w:hAnsi="Times New Roman" w:eastAsia="Times New Roman" w:cs="Times New Roman"/>
          <w:spacing w:val="5"/>
        </w:rPr>
        <w:t>1.</w:t>
      </w:r>
      <w:r>
        <w:rPr>
          <w:spacing w:val="5"/>
        </w:rPr>
        <w:t>卫星运行在非静止轨道；</w:t>
      </w:r>
    </w:p>
    <w:p w14:paraId="7656AD40">
      <w:pPr>
        <w:pStyle w:val="2"/>
        <w:spacing w:before="231" w:line="221" w:lineRule="auto"/>
        <w:ind w:left="635"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单星（含星座系统中的单颗卫星）设计寿命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 xml:space="preserve">3 </w:t>
      </w:r>
      <w:r>
        <w:rPr>
          <w:spacing w:val="7"/>
        </w:rPr>
        <w:t>年以下；</w:t>
      </w:r>
    </w:p>
    <w:p w14:paraId="61DE4076">
      <w:pPr>
        <w:pStyle w:val="2"/>
        <w:spacing w:before="230" w:line="220" w:lineRule="auto"/>
        <w:ind w:left="641"/>
      </w:pPr>
      <w:r>
        <w:rPr>
          <w:rFonts w:ascii="Times New Roman" w:hAnsi="Times New Roman" w:eastAsia="Times New Roman" w:cs="Times New Roman"/>
          <w:spacing w:val="11"/>
        </w:rPr>
        <w:t>3.</w:t>
      </w:r>
      <w:r>
        <w:rPr>
          <w:spacing w:val="11"/>
        </w:rPr>
        <w:t>所申请和使用的卫星无线电频率无需适用国际电联《无</w:t>
      </w:r>
    </w:p>
    <w:p w14:paraId="27226E9A">
      <w:pPr>
        <w:pStyle w:val="2"/>
        <w:spacing w:before="229" w:line="222" w:lineRule="auto"/>
        <w:ind w:left="21"/>
      </w:pPr>
      <w:r>
        <w:rPr>
          <w:spacing w:val="6"/>
        </w:rPr>
        <w:t>线电规则》第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9 </w:t>
      </w:r>
      <w:r>
        <w:rPr>
          <w:spacing w:val="6"/>
        </w:rPr>
        <w:t>条第</w:t>
      </w:r>
      <w:r>
        <w:rPr>
          <w:rFonts w:ascii="Times New Roman" w:hAnsi="Times New Roman" w:eastAsia="Times New Roman" w:cs="Times New Roman"/>
          <w:spacing w:val="6"/>
        </w:rPr>
        <w:t>Ⅱ</w:t>
      </w:r>
      <w:r>
        <w:rPr>
          <w:spacing w:val="6"/>
        </w:rPr>
        <w:t>节（协调程序）的规定；</w:t>
      </w:r>
    </w:p>
    <w:p w14:paraId="25363F0E">
      <w:pPr>
        <w:pStyle w:val="2"/>
        <w:spacing w:before="227" w:line="222" w:lineRule="auto"/>
        <w:ind w:left="633"/>
      </w:pPr>
      <w:r>
        <w:rPr>
          <w:rFonts w:ascii="Times New Roman" w:hAnsi="Times New Roman" w:eastAsia="Times New Roman" w:cs="Times New Roman"/>
          <w:spacing w:val="5"/>
        </w:rPr>
        <w:t>4.</w:t>
      </w:r>
      <w:r>
        <w:rPr>
          <w:spacing w:val="5"/>
        </w:rPr>
        <w:t>星座系统所含卫星总数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10 </w:t>
      </w:r>
      <w:r>
        <w:rPr>
          <w:spacing w:val="5"/>
        </w:rPr>
        <w:t>颗以下；</w:t>
      </w:r>
    </w:p>
    <w:p w14:paraId="3C5339F1">
      <w:pPr>
        <w:pStyle w:val="2"/>
        <w:spacing w:before="228" w:line="221" w:lineRule="auto"/>
        <w:ind w:left="643"/>
      </w:pPr>
      <w:r>
        <w:rPr>
          <w:rFonts w:ascii="Times New Roman" w:hAnsi="Times New Roman" w:eastAsia="Times New Roman" w:cs="Times New Roman"/>
          <w:spacing w:val="8"/>
        </w:rPr>
        <w:t>5.</w:t>
      </w:r>
      <w:r>
        <w:rPr>
          <w:spacing w:val="8"/>
        </w:rPr>
        <w:t>卫星仅用于开展试验，不进行商业活动或商业应用；</w:t>
      </w:r>
    </w:p>
    <w:p w14:paraId="12DE9851">
      <w:pPr>
        <w:pStyle w:val="2"/>
        <w:spacing w:before="227" w:line="343" w:lineRule="auto"/>
        <w:ind w:left="35" w:firstLine="607"/>
      </w:pPr>
      <w:r>
        <w:rPr>
          <w:rFonts w:ascii="Times New Roman" w:hAnsi="Times New Roman" w:eastAsia="Times New Roman" w:cs="Times New Roman"/>
          <w:spacing w:val="2"/>
        </w:rPr>
        <w:t>6.</w:t>
      </w:r>
      <w:r>
        <w:rPr>
          <w:spacing w:val="2"/>
        </w:rPr>
        <w:t>避开我国主要卫星系统、地面无线电台（站）常用频段，</w:t>
      </w:r>
      <w:r>
        <w:rPr>
          <w:spacing w:val="10"/>
        </w:rPr>
        <w:t xml:space="preserve"> </w:t>
      </w:r>
      <w:r>
        <w:rPr>
          <w:spacing w:val="7"/>
        </w:rPr>
        <w:t>同时试验频段应有明确的使用地点和时段；</w:t>
      </w:r>
    </w:p>
    <w:p w14:paraId="1168B1A6">
      <w:pPr>
        <w:spacing w:line="343" w:lineRule="auto"/>
        <w:sectPr>
          <w:footerReference r:id="rId11" w:type="default"/>
          <w:pgSz w:w="11906" w:h="16839"/>
          <w:pgMar w:top="1431" w:right="1504" w:bottom="1197" w:left="1711" w:header="0" w:footer="1013" w:gutter="0"/>
          <w:cols w:space="720" w:num="1"/>
        </w:sectPr>
      </w:pPr>
    </w:p>
    <w:p w14:paraId="2795D358">
      <w:pPr>
        <w:spacing w:line="261" w:lineRule="auto"/>
        <w:rPr>
          <w:rFonts w:ascii="Arial"/>
          <w:sz w:val="21"/>
        </w:rPr>
      </w:pPr>
    </w:p>
    <w:p w14:paraId="01DC629C">
      <w:pPr>
        <w:pStyle w:val="2"/>
        <w:spacing w:before="101" w:line="342" w:lineRule="auto"/>
        <w:ind w:left="7" w:right="83" w:firstLine="630"/>
      </w:pPr>
      <w:r>
        <w:rPr>
          <w:rFonts w:ascii="Times New Roman" w:hAnsi="Times New Roman" w:eastAsia="Times New Roman" w:cs="Times New Roman"/>
          <w:spacing w:val="11"/>
        </w:rPr>
        <w:t>7.</w:t>
      </w:r>
      <w:r>
        <w:rPr>
          <w:spacing w:val="11"/>
        </w:rPr>
        <w:t>不得对我国已有卫星系统、地面无线电台（站）产生有</w:t>
      </w:r>
      <w:r>
        <w:rPr>
          <w:spacing w:val="6"/>
        </w:rPr>
        <w:t xml:space="preserve"> </w:t>
      </w:r>
      <w:r>
        <w:rPr>
          <w:spacing w:val="8"/>
        </w:rPr>
        <w:t>害干扰。若产生有害干扰应立即采取有效措施予以消除。</w:t>
      </w:r>
    </w:p>
    <w:p w14:paraId="103AD2B0">
      <w:pPr>
        <w:pStyle w:val="2"/>
        <w:spacing w:before="52" w:line="341" w:lineRule="auto"/>
        <w:ind w:left="8" w:right="81" w:firstLine="621"/>
      </w:pPr>
      <w:r>
        <w:rPr>
          <w:spacing w:val="5"/>
        </w:rPr>
        <w:t>（</w:t>
      </w:r>
      <w:r>
        <w:rPr>
          <w:spacing w:val="-56"/>
        </w:rPr>
        <w:t xml:space="preserve"> </w:t>
      </w:r>
      <w:r>
        <w:rPr>
          <w:spacing w:val="5"/>
        </w:rPr>
        <w:t>四）工业和信息化部对国内协调或相关无线电业务之间</w:t>
      </w:r>
      <w:r>
        <w:t xml:space="preserve"> </w:t>
      </w:r>
      <w:r>
        <w:rPr>
          <w:spacing w:val="8"/>
        </w:rPr>
        <w:t>兼容共用已有其他明确技术条件的。</w:t>
      </w:r>
    </w:p>
    <w:p w14:paraId="27AF4A98">
      <w:pPr>
        <w:pStyle w:val="2"/>
        <w:spacing w:before="50" w:line="347" w:lineRule="auto"/>
        <w:ind w:left="3" w:right="81" w:firstLine="634"/>
      </w:pPr>
      <w:r>
        <w:rPr>
          <w:rFonts w:ascii="黑体" w:hAnsi="黑体" w:eastAsia="黑体" w:cs="黑体"/>
          <w:spacing w:val="14"/>
        </w:rPr>
        <w:t xml:space="preserve">第二十四条 </w:t>
      </w:r>
      <w:r>
        <w:rPr>
          <w:spacing w:val="14"/>
        </w:rPr>
        <w:t>对于申报协调双方经过技术分析达成共识的</w:t>
      </w:r>
      <w:r>
        <w:rPr>
          <w:spacing w:val="18"/>
        </w:rPr>
        <w:t xml:space="preserve"> </w:t>
      </w:r>
      <w:r>
        <w:rPr>
          <w:spacing w:val="8"/>
        </w:rPr>
        <w:t>协调事项，双方应签署协调协议或提供相应佐证材料，作为完</w:t>
      </w:r>
      <w:r>
        <w:rPr>
          <w:spacing w:val="14"/>
        </w:rPr>
        <w:t xml:space="preserve"> </w:t>
      </w:r>
      <w:r>
        <w:rPr>
          <w:spacing w:val="6"/>
        </w:rPr>
        <w:t>成国内协调的依据。</w:t>
      </w:r>
    </w:p>
    <w:p w14:paraId="441E19E0">
      <w:pPr>
        <w:pStyle w:val="2"/>
        <w:spacing w:before="56" w:line="349" w:lineRule="auto"/>
        <w:ind w:right="81" w:firstLine="638"/>
        <w:jc w:val="both"/>
      </w:pPr>
      <w:r>
        <w:rPr>
          <w:rFonts w:ascii="黑体" w:hAnsi="黑体" w:eastAsia="黑体" w:cs="黑体"/>
          <w:spacing w:val="14"/>
        </w:rPr>
        <w:t xml:space="preserve">第二十五条 </w:t>
      </w:r>
      <w:r>
        <w:rPr>
          <w:spacing w:val="14"/>
        </w:rPr>
        <w:t>工业和信息化部组织建立国内协调第三方机</w:t>
      </w:r>
      <w:r>
        <w:rPr>
          <w:spacing w:val="18"/>
        </w:rPr>
        <w:t xml:space="preserve"> </w:t>
      </w:r>
      <w:r>
        <w:rPr>
          <w:spacing w:val="8"/>
        </w:rPr>
        <w:t>构评估机制，向社会公开遴选一批具备相应专业能力的第三方</w:t>
      </w:r>
      <w:r>
        <w:rPr>
          <w:spacing w:val="16"/>
        </w:rPr>
        <w:t xml:space="preserve"> </w:t>
      </w:r>
      <w:r>
        <w:rPr>
          <w:spacing w:val="8"/>
        </w:rPr>
        <w:t>评估机构，并向社会公示。第三方机构评估机制具体细则另行</w:t>
      </w:r>
      <w:r>
        <w:rPr>
          <w:spacing w:val="18"/>
        </w:rPr>
        <w:t xml:space="preserve"> </w:t>
      </w:r>
      <w:r>
        <w:rPr>
          <w:spacing w:val="1"/>
        </w:rPr>
        <w:t>制定。</w:t>
      </w:r>
    </w:p>
    <w:p w14:paraId="6B844E14">
      <w:pPr>
        <w:pStyle w:val="2"/>
        <w:spacing w:before="54" w:line="353" w:lineRule="auto"/>
        <w:ind w:right="81" w:firstLine="638"/>
        <w:jc w:val="both"/>
      </w:pPr>
      <w:r>
        <w:rPr>
          <w:rFonts w:ascii="黑体" w:hAnsi="黑体" w:eastAsia="黑体" w:cs="黑体"/>
          <w:spacing w:val="14"/>
        </w:rPr>
        <w:t xml:space="preserve">第二十六条 </w:t>
      </w:r>
      <w:r>
        <w:rPr>
          <w:spacing w:val="14"/>
        </w:rPr>
        <w:t>对于协调要求不合理、协调标准不明确、技</w:t>
      </w:r>
      <w:r>
        <w:rPr>
          <w:spacing w:val="18"/>
        </w:rPr>
        <w:t xml:space="preserve"> </w:t>
      </w:r>
      <w:r>
        <w:rPr>
          <w:spacing w:val="8"/>
        </w:rPr>
        <w:t>术分析有争议、频率兼容结论不明晰等问题，经反复协调磋商</w:t>
      </w:r>
      <w:r>
        <w:rPr>
          <w:spacing w:val="16"/>
        </w:rPr>
        <w:t xml:space="preserve"> </w:t>
      </w:r>
      <w:r>
        <w:rPr>
          <w:spacing w:val="8"/>
        </w:rPr>
        <w:t>无法达成一致的，申报协调双方中的任一方可提请第三方机构</w:t>
      </w:r>
      <w:r>
        <w:rPr>
          <w:spacing w:val="16"/>
        </w:rPr>
        <w:t xml:space="preserve"> </w:t>
      </w:r>
      <w:r>
        <w:rPr>
          <w:spacing w:val="8"/>
        </w:rPr>
        <w:t>进行评估，第三方机构由工业和信息化部随机抽选；或申报协</w:t>
      </w:r>
      <w:r>
        <w:rPr>
          <w:spacing w:val="16"/>
        </w:rPr>
        <w:t xml:space="preserve"> </w:t>
      </w:r>
      <w:r>
        <w:rPr>
          <w:spacing w:val="8"/>
        </w:rPr>
        <w:t>调双方协商一致可选定一家第三方机构进行评估，并报告工业</w:t>
      </w:r>
      <w:r>
        <w:rPr>
          <w:spacing w:val="16"/>
        </w:rPr>
        <w:t xml:space="preserve"> </w:t>
      </w:r>
      <w:r>
        <w:rPr>
          <w:spacing w:val="8"/>
        </w:rPr>
        <w:t>和信息化部。第三方评估结论作为判定国内协调是否完成的依</w:t>
      </w:r>
      <w:r>
        <w:rPr>
          <w:spacing w:val="18"/>
        </w:rPr>
        <w:t xml:space="preserve"> </w:t>
      </w:r>
      <w:r>
        <w:rPr>
          <w:spacing w:val="-2"/>
        </w:rPr>
        <w:t>据。</w:t>
      </w:r>
    </w:p>
    <w:p w14:paraId="5BB047A3">
      <w:pPr>
        <w:pStyle w:val="2"/>
        <w:spacing w:before="50" w:line="349" w:lineRule="auto"/>
        <w:ind w:firstLine="638"/>
        <w:jc w:val="both"/>
      </w:pPr>
      <w:r>
        <w:rPr>
          <w:rFonts w:ascii="黑体" w:hAnsi="黑体" w:eastAsia="黑体" w:cs="黑体"/>
          <w:spacing w:val="5"/>
        </w:rPr>
        <w:t xml:space="preserve">第二十七条 </w:t>
      </w:r>
      <w:r>
        <w:rPr>
          <w:spacing w:val="5"/>
        </w:rPr>
        <w:t>对于国家重大工程或者重大、复杂协调事项，</w:t>
      </w:r>
      <w:r>
        <w:rPr>
          <w:spacing w:val="12"/>
        </w:rPr>
        <w:t xml:space="preserve"> </w:t>
      </w:r>
      <w:r>
        <w:rPr>
          <w:spacing w:val="21"/>
        </w:rPr>
        <w:t>工业和信息化部可以国家无线电办公室名义召开国</w:t>
      </w:r>
      <w:r>
        <w:rPr>
          <w:spacing w:val="20"/>
        </w:rPr>
        <w:t>内协调会</w:t>
      </w:r>
      <w:r>
        <w:t xml:space="preserve"> </w:t>
      </w:r>
      <w:r>
        <w:rPr>
          <w:spacing w:val="8"/>
        </w:rPr>
        <w:t>议，对协调结果进行判定。会前组织国家无线电频谱管理中心</w:t>
      </w:r>
      <w:r>
        <w:rPr>
          <w:spacing w:val="16"/>
        </w:rPr>
        <w:t xml:space="preserve"> </w:t>
      </w:r>
      <w:r>
        <w:rPr>
          <w:spacing w:val="8"/>
        </w:rPr>
        <w:t>等单位对协调中的技术问题进行兼容分析或测试，作为结果判</w:t>
      </w:r>
    </w:p>
    <w:p w14:paraId="25C9BB70">
      <w:pPr>
        <w:spacing w:line="349" w:lineRule="auto"/>
        <w:sectPr>
          <w:footerReference r:id="rId12" w:type="default"/>
          <w:pgSz w:w="11906" w:h="16839"/>
          <w:pgMar w:top="1431" w:right="1504" w:bottom="1200" w:left="1714" w:header="0" w:footer="1013" w:gutter="0"/>
          <w:cols w:space="720" w:num="1"/>
        </w:sectPr>
      </w:pPr>
    </w:p>
    <w:p w14:paraId="1F168EFA">
      <w:pPr>
        <w:spacing w:line="261" w:lineRule="auto"/>
        <w:rPr>
          <w:rFonts w:ascii="Arial"/>
          <w:sz w:val="21"/>
        </w:rPr>
      </w:pPr>
    </w:p>
    <w:p w14:paraId="3BA9B743">
      <w:pPr>
        <w:pStyle w:val="2"/>
        <w:spacing w:before="101" w:line="220" w:lineRule="auto"/>
        <w:ind w:left="11"/>
      </w:pPr>
      <w:r>
        <w:rPr>
          <w:spacing w:val="8"/>
        </w:rPr>
        <w:t>定的重要参考。会议纪要作为完成国内协调的依据。</w:t>
      </w:r>
    </w:p>
    <w:p w14:paraId="538CEF53">
      <w:pPr>
        <w:pStyle w:val="2"/>
        <w:spacing w:before="231" w:line="351" w:lineRule="auto"/>
        <w:ind w:left="6" w:firstLine="639"/>
        <w:jc w:val="both"/>
      </w:pPr>
      <w:r>
        <w:rPr>
          <w:rFonts w:ascii="黑体" w:hAnsi="黑体" w:eastAsia="黑体" w:cs="黑体"/>
          <w:spacing w:val="5"/>
        </w:rPr>
        <w:t xml:space="preserve">第二十八条 </w:t>
      </w:r>
      <w:r>
        <w:rPr>
          <w:spacing w:val="5"/>
        </w:rPr>
        <w:t>对于国家重大工程或者重大、复杂协调事项，</w:t>
      </w:r>
      <w:r>
        <w:rPr>
          <w:spacing w:val="12"/>
        </w:rPr>
        <w:t xml:space="preserve"> </w:t>
      </w:r>
      <w:r>
        <w:rPr>
          <w:spacing w:val="9"/>
        </w:rPr>
        <w:t>但受时间等因素影响，不具备召开会议条件</w:t>
      </w:r>
      <w:r>
        <w:rPr>
          <w:spacing w:val="8"/>
        </w:rPr>
        <w:t>的，工业和信息化</w:t>
      </w:r>
      <w:r>
        <w:t xml:space="preserve"> </w:t>
      </w:r>
      <w:r>
        <w:rPr>
          <w:spacing w:val="9"/>
        </w:rPr>
        <w:t>部可以国家无线电办公室名义发函征求相关部</w:t>
      </w:r>
      <w:r>
        <w:rPr>
          <w:spacing w:val="8"/>
        </w:rPr>
        <w:t>门意见。反馈无</w:t>
      </w:r>
      <w:r>
        <w:t xml:space="preserve"> </w:t>
      </w:r>
      <w:r>
        <w:rPr>
          <w:spacing w:val="8"/>
        </w:rPr>
        <w:t>意见或附条件同意的视为完成协调。超过一个月未收到反馈意</w:t>
      </w:r>
      <w:r>
        <w:rPr>
          <w:spacing w:val="17"/>
        </w:rPr>
        <w:t xml:space="preserve"> </w:t>
      </w:r>
      <w:r>
        <w:rPr>
          <w:spacing w:val="7"/>
        </w:rPr>
        <w:t>见的，视为完成协调。</w:t>
      </w:r>
    </w:p>
    <w:p w14:paraId="0024ECC2">
      <w:pPr>
        <w:pStyle w:val="2"/>
        <w:spacing w:before="49" w:line="351" w:lineRule="auto"/>
        <w:ind w:left="11" w:right="81" w:firstLine="634"/>
        <w:jc w:val="both"/>
      </w:pPr>
      <w:r>
        <w:rPr>
          <w:rFonts w:ascii="黑体" w:hAnsi="黑体" w:eastAsia="黑体" w:cs="黑体"/>
          <w:spacing w:val="14"/>
        </w:rPr>
        <w:t xml:space="preserve">第二十九条 </w:t>
      </w:r>
      <w:r>
        <w:rPr>
          <w:spacing w:val="14"/>
        </w:rPr>
        <w:t>对于在国内协调过程中存在弄虚作假、故意</w:t>
      </w:r>
      <w:r>
        <w:rPr>
          <w:spacing w:val="18"/>
        </w:rPr>
        <w:t xml:space="preserve"> </w:t>
      </w:r>
      <w:r>
        <w:rPr>
          <w:spacing w:val="21"/>
        </w:rPr>
        <w:t>拖延协调进程或无合理技术理由拒不配合协调</w:t>
      </w:r>
      <w:r>
        <w:rPr>
          <w:spacing w:val="20"/>
        </w:rPr>
        <w:t>等违反本办法</w:t>
      </w:r>
      <w:r>
        <w:t xml:space="preserve"> </w:t>
      </w:r>
      <w:r>
        <w:rPr>
          <w:spacing w:val="8"/>
        </w:rPr>
        <w:t>规定行为的单位，由工业和信息化部予以约谈并责令改正，相</w:t>
      </w:r>
      <w:r>
        <w:rPr>
          <w:spacing w:val="12"/>
        </w:rPr>
        <w:t xml:space="preserve"> </w:t>
      </w:r>
      <w:r>
        <w:rPr>
          <w:spacing w:val="8"/>
        </w:rPr>
        <w:t>关协调结果不予认可。情节严重的，责成相关单位追究当事人</w:t>
      </w:r>
      <w:r>
        <w:rPr>
          <w:spacing w:val="12"/>
        </w:rPr>
        <w:t xml:space="preserve"> </w:t>
      </w:r>
      <w:r>
        <w:rPr>
          <w:spacing w:val="8"/>
        </w:rPr>
        <w:t>责任，并向其上级主管部门通报。</w:t>
      </w:r>
    </w:p>
    <w:p w14:paraId="0B1AE153">
      <w:pPr>
        <w:pStyle w:val="2"/>
        <w:spacing w:before="210" w:line="404" w:lineRule="auto"/>
        <w:ind w:left="646" w:right="2870" w:firstLine="2548"/>
      </w:pPr>
      <w:r>
        <w:rPr>
          <w:rFonts w:ascii="黑体" w:hAnsi="黑体" w:eastAsia="黑体" w:cs="黑体"/>
          <w:spacing w:val="-2"/>
        </w:rPr>
        <w:t>第六章</w:t>
      </w:r>
      <w:r>
        <w:rPr>
          <w:rFonts w:ascii="黑体" w:hAnsi="黑体" w:eastAsia="黑体" w:cs="黑体"/>
          <w:spacing w:val="22"/>
        </w:rPr>
        <w:t xml:space="preserve">  </w:t>
      </w:r>
      <w:r>
        <w:rPr>
          <w:rFonts w:ascii="黑体" w:hAnsi="黑体" w:eastAsia="黑体" w:cs="黑体"/>
          <w:spacing w:val="-2"/>
        </w:rPr>
        <w:t>附</w:t>
      </w:r>
      <w:r>
        <w:rPr>
          <w:rFonts w:ascii="黑体" w:hAnsi="黑体" w:eastAsia="黑体" w:cs="黑体"/>
          <w:spacing w:val="10"/>
        </w:rPr>
        <w:t xml:space="preserve">  </w:t>
      </w:r>
      <w:r>
        <w:rPr>
          <w:rFonts w:ascii="黑体" w:hAnsi="黑体" w:eastAsia="黑体" w:cs="黑体"/>
          <w:spacing w:val="-2"/>
        </w:rPr>
        <w:t>则</w:t>
      </w:r>
      <w:r>
        <w:rPr>
          <w:rFonts w:ascii="黑体" w:hAnsi="黑体" w:eastAsia="黑体" w:cs="黑体"/>
        </w:rPr>
        <w:t xml:space="preserve">   </w:t>
      </w:r>
      <w:r>
        <w:rPr>
          <w:rFonts w:ascii="黑体" w:hAnsi="黑体" w:eastAsia="黑体" w:cs="黑体"/>
          <w:spacing w:val="3"/>
        </w:rPr>
        <w:t xml:space="preserve">第三十条 </w:t>
      </w:r>
      <w:r>
        <w:rPr>
          <w:spacing w:val="3"/>
        </w:rPr>
        <w:t>本办法中下列用语的含义：</w:t>
      </w:r>
    </w:p>
    <w:p w14:paraId="10ACA544">
      <w:pPr>
        <w:pStyle w:val="2"/>
        <w:spacing w:before="4" w:line="311" w:lineRule="auto"/>
        <w:ind w:left="7" w:right="81" w:firstLine="630"/>
      </w:pPr>
      <w:r>
        <w:rPr>
          <w:spacing w:val="6"/>
        </w:rPr>
        <w:t>（</w:t>
      </w:r>
      <w:r>
        <w:rPr>
          <w:spacing w:val="-79"/>
        </w:rPr>
        <w:t xml:space="preserve"> </w:t>
      </w:r>
      <w:r>
        <w:rPr>
          <w:spacing w:val="6"/>
        </w:rPr>
        <w:t>一）静止轨道，是指位于地球赤道平面上，</w:t>
      </w:r>
      <w:r>
        <w:rPr>
          <w:spacing w:val="5"/>
        </w:rPr>
        <w:t>由于受到自</w:t>
      </w:r>
      <w:r>
        <w:t xml:space="preserve"> </w:t>
      </w:r>
      <w:r>
        <w:rPr>
          <w:spacing w:val="8"/>
        </w:rPr>
        <w:t>然力（主要是万有引力）的作用，卫星的质量中心所描绘的顺</w:t>
      </w:r>
      <w:r>
        <w:rPr>
          <w:spacing w:val="18"/>
        </w:rPr>
        <w:t xml:space="preserve"> </w:t>
      </w:r>
      <w:r>
        <w:rPr>
          <w:spacing w:val="6"/>
        </w:rPr>
        <w:t>行圆形的轨迹。</w:t>
      </w:r>
    </w:p>
    <w:p w14:paraId="10F0D313">
      <w:pPr>
        <w:pStyle w:val="2"/>
        <w:spacing w:before="229" w:line="312" w:lineRule="auto"/>
        <w:ind w:right="81" w:firstLine="638"/>
      </w:pPr>
      <w:r>
        <w:rPr>
          <w:spacing w:val="3"/>
        </w:rPr>
        <w:t>（</w:t>
      </w:r>
      <w:r>
        <w:rPr>
          <w:spacing w:val="-71"/>
        </w:rPr>
        <w:t xml:space="preserve"> </w:t>
      </w:r>
      <w:r>
        <w:rPr>
          <w:spacing w:val="3"/>
        </w:rPr>
        <w:t>二）非静止轨道，是指除静止轨道外，</w:t>
      </w:r>
      <w:r>
        <w:rPr>
          <w:spacing w:val="-90"/>
        </w:rPr>
        <w:t xml:space="preserve"> </w:t>
      </w:r>
      <w:r>
        <w:rPr>
          <w:spacing w:val="3"/>
        </w:rPr>
        <w:t>由于受到自然力</w:t>
      </w:r>
      <w:r>
        <w:t xml:space="preserve"> </w:t>
      </w:r>
      <w:r>
        <w:rPr>
          <w:spacing w:val="9"/>
        </w:rPr>
        <w:t>（主要是万有引力）的作用，卫星的质量中心所描绘的</w:t>
      </w:r>
      <w:r>
        <w:rPr>
          <w:spacing w:val="8"/>
        </w:rPr>
        <w:t>相对于</w:t>
      </w:r>
      <w:r>
        <w:t xml:space="preserve"> </w:t>
      </w:r>
      <w:r>
        <w:rPr>
          <w:spacing w:val="8"/>
        </w:rPr>
        <w:t>某参照系的轨迹。</w:t>
      </w:r>
    </w:p>
    <w:p w14:paraId="77243F24">
      <w:pPr>
        <w:pStyle w:val="2"/>
        <w:spacing w:before="230" w:line="312" w:lineRule="auto"/>
        <w:ind w:left="4" w:right="81" w:firstLine="634"/>
      </w:pPr>
      <w:r>
        <w:rPr>
          <w:spacing w:val="5"/>
        </w:rPr>
        <w:t>（</w:t>
      </w:r>
      <w:r>
        <w:rPr>
          <w:spacing w:val="-59"/>
        </w:rPr>
        <w:t xml:space="preserve"> </w:t>
      </w:r>
      <w:r>
        <w:rPr>
          <w:spacing w:val="5"/>
        </w:rPr>
        <w:t>三）卫星网络资料，是指向国际电联报送的卫星网络正</w:t>
      </w:r>
      <w:r>
        <w:t xml:space="preserve"> </w:t>
      </w:r>
      <w:r>
        <w:rPr>
          <w:spacing w:val="21"/>
        </w:rPr>
        <w:t>常工作所涉及的无线电频率和空间轨道等相关信息的技术文</w:t>
      </w:r>
      <w:r>
        <w:rPr>
          <w:spacing w:val="2"/>
        </w:rPr>
        <w:t xml:space="preserve"> </w:t>
      </w:r>
      <w:r>
        <w:t>件。</w:t>
      </w:r>
    </w:p>
    <w:p w14:paraId="49BB12ED">
      <w:pPr>
        <w:spacing w:line="312" w:lineRule="auto"/>
        <w:sectPr>
          <w:footerReference r:id="rId13" w:type="default"/>
          <w:pgSz w:w="11906" w:h="16839"/>
          <w:pgMar w:top="1431" w:right="1504" w:bottom="1200" w:left="1706" w:header="0" w:footer="1013" w:gutter="0"/>
          <w:cols w:space="720" w:num="1"/>
        </w:sectPr>
      </w:pPr>
    </w:p>
    <w:p w14:paraId="0261F15A">
      <w:pPr>
        <w:spacing w:line="261" w:lineRule="auto"/>
        <w:rPr>
          <w:rFonts w:ascii="Arial"/>
          <w:sz w:val="21"/>
        </w:rPr>
      </w:pPr>
    </w:p>
    <w:p w14:paraId="24A9724E">
      <w:pPr>
        <w:pStyle w:val="2"/>
        <w:spacing w:before="101" w:line="312" w:lineRule="auto"/>
        <w:ind w:left="1" w:right="81" w:firstLine="633"/>
      </w:pPr>
      <w:r>
        <w:rPr>
          <w:spacing w:val="5"/>
        </w:rPr>
        <w:t>（</w:t>
      </w:r>
      <w:r>
        <w:rPr>
          <w:spacing w:val="-59"/>
        </w:rPr>
        <w:t xml:space="preserve"> </w:t>
      </w:r>
      <w:r>
        <w:rPr>
          <w:spacing w:val="5"/>
        </w:rPr>
        <w:t>四）卫星网络通知资料，是指工业和信息化部报送国际</w:t>
      </w:r>
      <w:r>
        <w:t xml:space="preserve"> </w:t>
      </w:r>
      <w:r>
        <w:rPr>
          <w:spacing w:val="9"/>
        </w:rPr>
        <w:t>电联，请其将卫星网络资料相关信息登记进入国</w:t>
      </w:r>
      <w:r>
        <w:rPr>
          <w:spacing w:val="8"/>
        </w:rPr>
        <w:t>际频率登记总</w:t>
      </w:r>
      <w:r>
        <w:t xml:space="preserve"> </w:t>
      </w:r>
      <w:r>
        <w:rPr>
          <w:spacing w:val="6"/>
        </w:rPr>
        <w:t>表（</w:t>
      </w:r>
      <w:r>
        <w:rPr>
          <w:rFonts w:ascii="Times New Roman" w:hAnsi="Times New Roman" w:eastAsia="Times New Roman" w:cs="Times New Roman"/>
        </w:rPr>
        <w:t>MIFR</w:t>
      </w:r>
      <w:r>
        <w:rPr>
          <w:spacing w:val="4"/>
        </w:rPr>
        <w:t>），</w:t>
      </w:r>
      <w:r>
        <w:rPr>
          <w:spacing w:val="-84"/>
        </w:rPr>
        <w:t xml:space="preserve"> </w:t>
      </w:r>
      <w:r>
        <w:rPr>
          <w:spacing w:val="6"/>
        </w:rPr>
        <w:t>以取得国际地位的技术文件。</w:t>
      </w:r>
    </w:p>
    <w:p w14:paraId="401759A6">
      <w:pPr>
        <w:pStyle w:val="2"/>
        <w:spacing w:before="227" w:line="312" w:lineRule="auto"/>
        <w:ind w:left="7" w:right="81" w:firstLine="626"/>
      </w:pPr>
      <w:r>
        <w:rPr>
          <w:spacing w:val="6"/>
        </w:rPr>
        <w:t>（</w:t>
      </w:r>
      <w:r>
        <w:rPr>
          <w:spacing w:val="-81"/>
        </w:rPr>
        <w:t xml:space="preserve"> </w:t>
      </w:r>
      <w:r>
        <w:rPr>
          <w:spacing w:val="6"/>
        </w:rPr>
        <w:t>五）卫星操作单位，是指依据国际规则在国际电联注册</w:t>
      </w:r>
      <w:r>
        <w:t xml:space="preserve"> </w:t>
      </w:r>
      <w:r>
        <w:rPr>
          <w:spacing w:val="6"/>
        </w:rPr>
        <w:t>登记，</w:t>
      </w:r>
      <w:r>
        <w:rPr>
          <w:spacing w:val="-87"/>
        </w:rPr>
        <w:t xml:space="preserve"> </w:t>
      </w:r>
      <w:r>
        <w:rPr>
          <w:spacing w:val="6"/>
        </w:rPr>
        <w:t>申报、使用和维护卫星网络资料，并缴纳成本回收费用</w:t>
      </w:r>
      <w:r>
        <w:t xml:space="preserve"> </w:t>
      </w:r>
      <w:r>
        <w:rPr>
          <w:spacing w:val="2"/>
        </w:rPr>
        <w:t>的单位。</w:t>
      </w:r>
    </w:p>
    <w:p w14:paraId="5D78CC4D">
      <w:pPr>
        <w:pStyle w:val="2"/>
        <w:spacing w:before="226" w:line="324" w:lineRule="auto"/>
        <w:ind w:left="11" w:right="81" w:firstLine="622"/>
      </w:pPr>
      <w:r>
        <w:rPr>
          <w:spacing w:val="6"/>
        </w:rPr>
        <w:t>（</w:t>
      </w:r>
      <w:r>
        <w:rPr>
          <w:spacing w:val="-81"/>
        </w:rPr>
        <w:t xml:space="preserve"> </w:t>
      </w:r>
      <w:r>
        <w:rPr>
          <w:spacing w:val="6"/>
        </w:rPr>
        <w:t>六）国内协调列表，是指包含国内协调相关的卫星操作</w:t>
      </w:r>
      <w:r>
        <w:t xml:space="preserve"> </w:t>
      </w:r>
      <w:r>
        <w:rPr>
          <w:spacing w:val="6"/>
        </w:rPr>
        <w:t>单位、卫星网络或地面无线电台（站）名称，</w:t>
      </w:r>
      <w:r>
        <w:rPr>
          <w:spacing w:val="-83"/>
        </w:rPr>
        <w:t xml:space="preserve"> </w:t>
      </w:r>
      <w:r>
        <w:rPr>
          <w:spacing w:val="5"/>
        </w:rPr>
        <w:t>以及频率范围、</w:t>
      </w:r>
      <w:r>
        <w:t xml:space="preserve"> </w:t>
      </w:r>
      <w:r>
        <w:rPr>
          <w:spacing w:val="8"/>
        </w:rPr>
        <w:t>星座构型、业务类型、传输方向等信息，用以明确国内协调关</w:t>
      </w:r>
      <w:r>
        <w:rPr>
          <w:spacing w:val="11"/>
        </w:rPr>
        <w:t xml:space="preserve"> </w:t>
      </w:r>
      <w:r>
        <w:rPr>
          <w:spacing w:val="5"/>
        </w:rPr>
        <w:t>系的技术文件。</w:t>
      </w:r>
    </w:p>
    <w:p w14:paraId="407C274F">
      <w:pPr>
        <w:pStyle w:val="2"/>
        <w:spacing w:before="225" w:line="340" w:lineRule="auto"/>
        <w:ind w:left="21" w:right="83" w:firstLine="620"/>
      </w:pPr>
      <w:r>
        <w:rPr>
          <w:rFonts w:ascii="黑体" w:hAnsi="黑体" w:eastAsia="黑体" w:cs="黑体"/>
          <w:spacing w:val="10"/>
        </w:rPr>
        <w:t>第三十一条</w:t>
      </w:r>
      <w:r>
        <w:rPr>
          <w:rFonts w:ascii="黑体" w:hAnsi="黑体" w:eastAsia="黑体" w:cs="黑体"/>
          <w:spacing w:val="50"/>
        </w:rPr>
        <w:t xml:space="preserve"> </w:t>
      </w:r>
      <w:r>
        <w:rPr>
          <w:spacing w:val="10"/>
        </w:rPr>
        <w:t>国内协调工作涉及军事系统的，</w:t>
      </w:r>
      <w:r>
        <w:rPr>
          <w:spacing w:val="-77"/>
        </w:rPr>
        <w:t xml:space="preserve"> </w:t>
      </w:r>
      <w:r>
        <w:rPr>
          <w:spacing w:val="10"/>
        </w:rPr>
        <w:t>由军队电磁</w:t>
      </w:r>
      <w:r>
        <w:t xml:space="preserve"> </w:t>
      </w:r>
      <w:r>
        <w:rPr>
          <w:spacing w:val="7"/>
        </w:rPr>
        <w:t>频谱管理机构按有关规定归口办理。</w:t>
      </w:r>
    </w:p>
    <w:p w14:paraId="576CD24A">
      <w:pPr>
        <w:pStyle w:val="2"/>
        <w:spacing w:before="59" w:line="339" w:lineRule="auto"/>
        <w:ind w:firstLine="642"/>
      </w:pPr>
      <w:r>
        <w:rPr>
          <w:rFonts w:ascii="黑体" w:hAnsi="黑体" w:eastAsia="黑体" w:cs="黑体"/>
          <w:spacing w:val="5"/>
        </w:rPr>
        <w:t xml:space="preserve">第三十二条 </w:t>
      </w:r>
      <w:r>
        <w:rPr>
          <w:spacing w:val="5"/>
        </w:rPr>
        <w:t>涉及香港、澳门特别行政区的国内协调事宜，</w:t>
      </w:r>
      <w:r>
        <w:rPr>
          <w:spacing w:val="12"/>
        </w:rPr>
        <w:t xml:space="preserve"> </w:t>
      </w:r>
      <w:r>
        <w:rPr>
          <w:spacing w:val="9"/>
        </w:rPr>
        <w:t>根据内地与香港、澳门特别行政区政府间有关规定办理。</w:t>
      </w:r>
    </w:p>
    <w:p w14:paraId="70CEED8A">
      <w:pPr>
        <w:pStyle w:val="2"/>
        <w:spacing w:before="60" w:line="226" w:lineRule="auto"/>
        <w:ind w:left="642"/>
      </w:pPr>
      <w:r>
        <w:rPr>
          <w:rFonts w:ascii="黑体" w:hAnsi="黑体" w:eastAsia="黑体" w:cs="黑体"/>
          <w:spacing w:val="3"/>
        </w:rPr>
        <w:t xml:space="preserve">第三十三条 </w:t>
      </w:r>
      <w:r>
        <w:rPr>
          <w:spacing w:val="3"/>
        </w:rPr>
        <w:t>本办法自</w:t>
      </w:r>
      <w:r>
        <w:rPr>
          <w:rFonts w:ascii="Times New Roman" w:hAnsi="Times New Roman" w:eastAsia="Times New Roman" w:cs="Times New Roman"/>
          <w:spacing w:val="3"/>
        </w:rPr>
        <w:t>2025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3"/>
        </w:rPr>
        <w:t>年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5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3"/>
        </w:rPr>
        <w:t>月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 xml:space="preserve">1  </w:t>
      </w:r>
      <w:r>
        <w:rPr>
          <w:spacing w:val="3"/>
        </w:rPr>
        <w:t>日起</w:t>
      </w:r>
      <w:r>
        <w:rPr>
          <w:spacing w:val="2"/>
        </w:rPr>
        <w:t>实施。</w:t>
      </w:r>
    </w:p>
    <w:p w14:paraId="1EF744BF">
      <w:pPr>
        <w:spacing w:line="269" w:lineRule="auto"/>
        <w:rPr>
          <w:rFonts w:ascii="Arial"/>
          <w:sz w:val="21"/>
        </w:rPr>
      </w:pPr>
    </w:p>
    <w:p w14:paraId="1334FE79">
      <w:pPr>
        <w:spacing w:line="269" w:lineRule="auto"/>
        <w:rPr>
          <w:rFonts w:ascii="Arial"/>
          <w:sz w:val="21"/>
        </w:rPr>
      </w:pPr>
    </w:p>
    <w:p w14:paraId="558BE950">
      <w:pPr>
        <w:spacing w:line="269" w:lineRule="auto"/>
        <w:rPr>
          <w:rFonts w:ascii="Arial"/>
          <w:sz w:val="21"/>
        </w:rPr>
      </w:pPr>
    </w:p>
    <w:p w14:paraId="0C274CBA">
      <w:pPr>
        <w:pStyle w:val="2"/>
        <w:spacing w:before="101" w:line="222" w:lineRule="auto"/>
        <w:ind w:left="665"/>
      </w:pPr>
      <w:r>
        <w:rPr>
          <w:spacing w:val="5"/>
        </w:rPr>
        <w:t>附件：</w:t>
      </w:r>
      <w:r>
        <w:rPr>
          <w:rFonts w:ascii="Times New Roman" w:hAnsi="Times New Roman" w:eastAsia="Times New Roman" w:cs="Times New Roman"/>
          <w:spacing w:val="5"/>
        </w:rPr>
        <w:t>1.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5"/>
        </w:rPr>
        <w:t>国际电联空间无线电业务常用建议书</w:t>
      </w:r>
    </w:p>
    <w:p w14:paraId="041BE5F5">
      <w:pPr>
        <w:spacing w:line="267" w:lineRule="auto"/>
        <w:rPr>
          <w:rFonts w:ascii="Arial"/>
          <w:sz w:val="21"/>
        </w:rPr>
      </w:pPr>
    </w:p>
    <w:p w14:paraId="7FA0ED27">
      <w:pPr>
        <w:pStyle w:val="2"/>
        <w:spacing w:before="101" w:line="222" w:lineRule="auto"/>
        <w:ind w:left="1596"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卫星网络国内协调列表（模板）</w:t>
      </w:r>
    </w:p>
    <w:p w14:paraId="5823FACB">
      <w:pPr>
        <w:spacing w:line="222" w:lineRule="auto"/>
        <w:sectPr>
          <w:footerReference r:id="rId14" w:type="default"/>
          <w:pgSz w:w="11906" w:h="16839"/>
          <w:pgMar w:top="1431" w:right="1504" w:bottom="1200" w:left="1710" w:header="0" w:footer="1013" w:gutter="0"/>
          <w:cols w:space="720" w:num="1"/>
        </w:sectPr>
      </w:pPr>
    </w:p>
    <w:p w14:paraId="47DF9C2A">
      <w:pPr>
        <w:spacing w:line="246" w:lineRule="auto"/>
        <w:rPr>
          <w:rFonts w:ascii="Arial"/>
          <w:sz w:val="21"/>
        </w:rPr>
      </w:pPr>
    </w:p>
    <w:p w14:paraId="14252CE9">
      <w:pPr>
        <w:spacing w:line="246" w:lineRule="auto"/>
        <w:rPr>
          <w:rFonts w:ascii="Arial"/>
          <w:sz w:val="21"/>
        </w:rPr>
      </w:pPr>
    </w:p>
    <w:p w14:paraId="2D6DEA32">
      <w:pPr>
        <w:spacing w:line="246" w:lineRule="auto"/>
        <w:rPr>
          <w:rFonts w:ascii="Arial"/>
          <w:sz w:val="21"/>
        </w:rPr>
      </w:pPr>
    </w:p>
    <w:p w14:paraId="766637E7">
      <w:pPr>
        <w:spacing w:before="101" w:line="230" w:lineRule="auto"/>
        <w:ind w:left="17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 w14:paraId="679D36DC">
      <w:pPr>
        <w:spacing w:before="170" w:line="494" w:lineRule="exact"/>
        <w:ind w:left="412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4"/>
          <w:position w:val="2"/>
          <w:sz w:val="35"/>
          <w:szCs w:val="35"/>
        </w:rPr>
        <w:t>国际电联空间无线电业务常用建议书</w:t>
      </w:r>
    </w:p>
    <w:p w14:paraId="371A4A34">
      <w:pPr>
        <w:spacing w:before="113"/>
      </w:pPr>
    </w:p>
    <w:tbl>
      <w:tblPr>
        <w:tblStyle w:val="5"/>
        <w:tblW w:w="139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709"/>
        <w:gridCol w:w="1355"/>
        <w:gridCol w:w="4849"/>
        <w:gridCol w:w="5906"/>
      </w:tblGrid>
      <w:tr w14:paraId="5F32EE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133" w:type="dxa"/>
            <w:vAlign w:val="top"/>
          </w:tcPr>
          <w:p w14:paraId="2C7A470A">
            <w:pPr>
              <w:pStyle w:val="6"/>
              <w:spacing w:before="89" w:line="224" w:lineRule="auto"/>
              <w:ind w:left="160"/>
            </w:pPr>
            <w:r>
              <w:rPr>
                <w:b/>
                <w:bCs/>
                <w:spacing w:val="4"/>
              </w:rPr>
              <w:t>业务名称</w:t>
            </w:r>
          </w:p>
        </w:tc>
        <w:tc>
          <w:tcPr>
            <w:tcW w:w="709" w:type="dxa"/>
            <w:vAlign w:val="top"/>
          </w:tcPr>
          <w:p w14:paraId="013708DD">
            <w:pPr>
              <w:pStyle w:val="6"/>
              <w:spacing w:before="89" w:line="225" w:lineRule="auto"/>
              <w:ind w:left="145"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55" w:type="dxa"/>
            <w:vAlign w:val="top"/>
          </w:tcPr>
          <w:p w14:paraId="48629357">
            <w:pPr>
              <w:pStyle w:val="6"/>
              <w:spacing w:before="88" w:line="227" w:lineRule="auto"/>
              <w:ind w:left="156"/>
            </w:pPr>
            <w:r>
              <w:rPr>
                <w:b/>
                <w:bCs/>
                <w:spacing w:val="6"/>
              </w:rPr>
              <w:t>建议书编号</w:t>
            </w:r>
          </w:p>
        </w:tc>
        <w:tc>
          <w:tcPr>
            <w:tcW w:w="4849" w:type="dxa"/>
            <w:vAlign w:val="top"/>
          </w:tcPr>
          <w:p w14:paraId="4993CE35">
            <w:pPr>
              <w:pStyle w:val="6"/>
              <w:spacing w:before="89" w:line="225" w:lineRule="auto"/>
              <w:ind w:left="2218"/>
            </w:pPr>
            <w:r>
              <w:rPr>
                <w:b/>
                <w:bCs/>
                <w:spacing w:val="4"/>
              </w:rPr>
              <w:t>标题</w:t>
            </w:r>
          </w:p>
        </w:tc>
        <w:tc>
          <w:tcPr>
            <w:tcW w:w="5906" w:type="dxa"/>
            <w:vAlign w:val="top"/>
          </w:tcPr>
          <w:p w14:paraId="1426C0FB">
            <w:pPr>
              <w:pStyle w:val="6"/>
              <w:spacing w:before="89" w:line="225" w:lineRule="auto"/>
              <w:ind w:left="2547"/>
            </w:pPr>
            <w:r>
              <w:rPr>
                <w:b/>
                <w:bCs/>
                <w:spacing w:val="4"/>
              </w:rPr>
              <w:t>主要内容</w:t>
            </w:r>
          </w:p>
        </w:tc>
      </w:tr>
      <w:tr w14:paraId="2FB48D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</w:trPr>
        <w:tc>
          <w:tcPr>
            <w:tcW w:w="1133" w:type="dxa"/>
            <w:vMerge w:val="restart"/>
            <w:tcBorders>
              <w:bottom w:val="nil"/>
            </w:tcBorders>
            <w:vAlign w:val="top"/>
          </w:tcPr>
          <w:p w14:paraId="0969013F">
            <w:pPr>
              <w:spacing w:line="245" w:lineRule="auto"/>
              <w:rPr>
                <w:rFonts w:ascii="Arial"/>
                <w:sz w:val="21"/>
              </w:rPr>
            </w:pPr>
          </w:p>
          <w:p w14:paraId="1D45E027">
            <w:pPr>
              <w:spacing w:line="246" w:lineRule="auto"/>
              <w:rPr>
                <w:rFonts w:ascii="Arial"/>
                <w:sz w:val="21"/>
              </w:rPr>
            </w:pPr>
          </w:p>
          <w:p w14:paraId="5C268A0E">
            <w:pPr>
              <w:spacing w:line="246" w:lineRule="auto"/>
              <w:rPr>
                <w:rFonts w:ascii="Arial"/>
                <w:sz w:val="21"/>
              </w:rPr>
            </w:pPr>
          </w:p>
          <w:p w14:paraId="46926FA7">
            <w:pPr>
              <w:spacing w:line="246" w:lineRule="auto"/>
              <w:rPr>
                <w:rFonts w:ascii="Arial"/>
                <w:sz w:val="21"/>
              </w:rPr>
            </w:pPr>
          </w:p>
          <w:p w14:paraId="2FC46A45">
            <w:pPr>
              <w:spacing w:line="246" w:lineRule="auto"/>
              <w:rPr>
                <w:rFonts w:ascii="Arial"/>
                <w:sz w:val="21"/>
              </w:rPr>
            </w:pPr>
          </w:p>
          <w:p w14:paraId="53071866">
            <w:pPr>
              <w:spacing w:line="246" w:lineRule="auto"/>
              <w:rPr>
                <w:rFonts w:ascii="Arial"/>
                <w:sz w:val="21"/>
              </w:rPr>
            </w:pPr>
          </w:p>
          <w:p w14:paraId="70F9C92C">
            <w:pPr>
              <w:spacing w:line="246" w:lineRule="auto"/>
              <w:rPr>
                <w:rFonts w:ascii="Arial"/>
                <w:sz w:val="21"/>
              </w:rPr>
            </w:pPr>
          </w:p>
          <w:p w14:paraId="5CD99A4C">
            <w:pPr>
              <w:spacing w:line="246" w:lineRule="auto"/>
              <w:rPr>
                <w:rFonts w:ascii="Arial"/>
                <w:sz w:val="21"/>
              </w:rPr>
            </w:pPr>
          </w:p>
          <w:p w14:paraId="1F487234">
            <w:pPr>
              <w:spacing w:line="246" w:lineRule="auto"/>
              <w:rPr>
                <w:rFonts w:ascii="Arial"/>
                <w:sz w:val="21"/>
              </w:rPr>
            </w:pPr>
          </w:p>
          <w:p w14:paraId="23F8AD22">
            <w:pPr>
              <w:spacing w:line="246" w:lineRule="auto"/>
              <w:rPr>
                <w:rFonts w:ascii="Arial"/>
                <w:sz w:val="21"/>
              </w:rPr>
            </w:pPr>
          </w:p>
          <w:p w14:paraId="61298B4B">
            <w:pPr>
              <w:pStyle w:val="6"/>
              <w:spacing w:before="65" w:line="273" w:lineRule="auto"/>
              <w:ind w:left="371" w:right="141" w:hanging="214"/>
            </w:pPr>
            <w:r>
              <w:rPr>
                <w:b/>
                <w:bCs/>
                <w:spacing w:val="5"/>
              </w:rPr>
              <w:t>卫星固定</w:t>
            </w:r>
            <w:r>
              <w:t xml:space="preserve"> </w:t>
            </w:r>
            <w:r>
              <w:rPr>
                <w:b/>
                <w:bCs/>
                <w:spacing w:val="-1"/>
              </w:rPr>
              <w:t>业务</w:t>
            </w:r>
          </w:p>
        </w:tc>
        <w:tc>
          <w:tcPr>
            <w:tcW w:w="709" w:type="dxa"/>
            <w:vAlign w:val="top"/>
          </w:tcPr>
          <w:p w14:paraId="1BE3B5A0">
            <w:pPr>
              <w:spacing w:line="355" w:lineRule="auto"/>
              <w:rPr>
                <w:rFonts w:ascii="Arial"/>
                <w:sz w:val="21"/>
              </w:rPr>
            </w:pPr>
          </w:p>
          <w:p w14:paraId="55C7D0E0">
            <w:pPr>
              <w:spacing w:line="355" w:lineRule="auto"/>
              <w:rPr>
                <w:rFonts w:ascii="Arial"/>
                <w:sz w:val="21"/>
              </w:rPr>
            </w:pPr>
          </w:p>
          <w:p w14:paraId="56D6ED76">
            <w:pPr>
              <w:spacing w:before="57" w:line="195" w:lineRule="auto"/>
              <w:ind w:left="3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  <w:vAlign w:val="top"/>
          </w:tcPr>
          <w:p w14:paraId="002FC634">
            <w:pPr>
              <w:spacing w:line="278" w:lineRule="auto"/>
              <w:rPr>
                <w:rFonts w:ascii="Arial"/>
                <w:sz w:val="21"/>
              </w:rPr>
            </w:pPr>
          </w:p>
          <w:p w14:paraId="5778F69B">
            <w:pPr>
              <w:spacing w:line="279" w:lineRule="auto"/>
              <w:rPr>
                <w:rFonts w:ascii="Arial"/>
                <w:sz w:val="21"/>
              </w:rPr>
            </w:pPr>
          </w:p>
          <w:p w14:paraId="0781AA0C">
            <w:pPr>
              <w:spacing w:before="58" w:line="321" w:lineRule="auto"/>
              <w:ind w:left="116" w:right="659" w:hanging="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ITU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-R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S.1323</w:t>
            </w:r>
          </w:p>
        </w:tc>
        <w:tc>
          <w:tcPr>
            <w:tcW w:w="4849" w:type="dxa"/>
            <w:vAlign w:val="top"/>
          </w:tcPr>
          <w:p w14:paraId="0CC2EEF2">
            <w:pPr>
              <w:pStyle w:val="6"/>
              <w:spacing w:before="113" w:line="282" w:lineRule="auto"/>
              <w:ind w:left="118" w:right="103"/>
              <w:jc w:val="both"/>
            </w:pPr>
            <w:r>
              <w:rPr>
                <w:spacing w:val="7"/>
              </w:rPr>
              <w:t>卫星固定业务的卫星网络（对地静止轨道</w:t>
            </w:r>
            <w:r>
              <w:rPr>
                <w:rFonts w:ascii="Times New Roman" w:hAnsi="Times New Roman" w:eastAsia="Times New Roman" w:cs="Times New Roman"/>
                <w:spacing w:val="7"/>
              </w:rPr>
              <w:t>/</w:t>
            </w:r>
            <w:r>
              <w:rPr>
                <w:spacing w:val="7"/>
              </w:rPr>
              <w:t>卫星固定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业务；非对地静止轨道</w:t>
            </w:r>
            <w:r>
              <w:rPr>
                <w:rFonts w:ascii="Times New Roman" w:hAnsi="Times New Roman" w:eastAsia="Times New Roman" w:cs="Times New Roman"/>
                <w:spacing w:val="7"/>
              </w:rPr>
              <w:t>/</w:t>
            </w:r>
            <w:r>
              <w:rPr>
                <w:spacing w:val="7"/>
              </w:rPr>
              <w:t>卫星固定业务；非对地静止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轨道</w:t>
            </w:r>
            <w:r>
              <w:rPr>
                <w:rFonts w:ascii="Times New Roman" w:hAnsi="Times New Roman" w:eastAsia="Times New Roman" w:cs="Times New Roman"/>
                <w:spacing w:val="6"/>
              </w:rPr>
              <w:t>/</w:t>
            </w:r>
            <w:r>
              <w:rPr>
                <w:spacing w:val="6"/>
              </w:rPr>
              <w:t>卫星移动业务馈线链路）中由其他低于</w:t>
            </w:r>
            <w:r>
              <w:rPr>
                <w:rFonts w:ascii="Times New Roman" w:hAnsi="Times New Roman" w:eastAsia="Times New Roman" w:cs="Times New Roman"/>
                <w:spacing w:val="6"/>
              </w:rPr>
              <w:t>3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0 </w:t>
            </w:r>
            <w:r>
              <w:rPr>
                <w:rFonts w:ascii="Times New Roman" w:hAnsi="Times New Roman" w:eastAsia="Times New Roman" w:cs="Times New Roman"/>
              </w:rPr>
              <w:t xml:space="preserve">GHz </w:t>
            </w:r>
            <w:r>
              <w:rPr>
                <w:spacing w:val="10"/>
              </w:rPr>
              <w:t>的同方向卫星固定业务网络产生的干扰的最大</w:t>
            </w:r>
            <w:r>
              <w:rPr>
                <w:spacing w:val="9"/>
              </w:rPr>
              <w:t>允许</w:t>
            </w:r>
            <w:r>
              <w:t xml:space="preserve"> </w:t>
            </w:r>
            <w:r>
              <w:rPr>
                <w:spacing w:val="1"/>
              </w:rPr>
              <w:t>电平</w:t>
            </w:r>
          </w:p>
        </w:tc>
        <w:tc>
          <w:tcPr>
            <w:tcW w:w="5906" w:type="dxa"/>
            <w:vAlign w:val="top"/>
          </w:tcPr>
          <w:p w14:paraId="77BC461B">
            <w:pPr>
              <w:spacing w:line="358" w:lineRule="auto"/>
              <w:rPr>
                <w:rFonts w:ascii="Arial"/>
                <w:sz w:val="21"/>
              </w:rPr>
            </w:pPr>
          </w:p>
          <w:p w14:paraId="131B1629">
            <w:pPr>
              <w:pStyle w:val="6"/>
              <w:spacing w:before="65" w:line="277" w:lineRule="auto"/>
              <w:ind w:left="119" w:right="104"/>
              <w:jc w:val="both"/>
            </w:pPr>
            <w:r>
              <w:rPr>
                <w:spacing w:val="11"/>
              </w:rPr>
              <w:t>卫星固定业务的卫星网络中由其他低于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30 </w:t>
            </w:r>
            <w:r>
              <w:rPr>
                <w:rFonts w:ascii="Times New Roman" w:hAnsi="Times New Roman" w:eastAsia="Times New Roman" w:cs="Times New Roman"/>
              </w:rPr>
              <w:t>GHz</w:t>
            </w:r>
            <w:r>
              <w:rPr>
                <w:rFonts w:ascii="Times New Roman" w:hAnsi="Times New Roman" w:eastAsia="Times New Roman" w:cs="Times New Roman"/>
                <w:spacing w:val="35"/>
              </w:rPr>
              <w:t xml:space="preserve"> </w:t>
            </w:r>
            <w:r>
              <w:rPr>
                <w:spacing w:val="11"/>
              </w:rPr>
              <w:t>的同方向卫星</w:t>
            </w:r>
            <w:r>
              <w:t xml:space="preserve"> </w:t>
            </w:r>
            <w:r>
              <w:rPr>
                <w:spacing w:val="10"/>
              </w:rPr>
              <w:t>固定业务网络产生干扰的干扰保护标准，适用于对地静止轨道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和非对地静止轨道的卫星固定业务系统链路保护。</w:t>
            </w:r>
          </w:p>
        </w:tc>
      </w:tr>
      <w:tr w14:paraId="2B016F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133" w:type="dxa"/>
            <w:vMerge w:val="continue"/>
            <w:tcBorders>
              <w:top w:val="nil"/>
              <w:bottom w:val="nil"/>
            </w:tcBorders>
            <w:vAlign w:val="top"/>
          </w:tcPr>
          <w:p w14:paraId="3A9F5C84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0CCA07CF">
            <w:pPr>
              <w:spacing w:line="418" w:lineRule="auto"/>
              <w:rPr>
                <w:rFonts w:ascii="Arial"/>
                <w:sz w:val="21"/>
              </w:rPr>
            </w:pPr>
          </w:p>
          <w:p w14:paraId="351D5826">
            <w:pPr>
              <w:spacing w:before="58" w:line="195" w:lineRule="auto"/>
              <w:ind w:left="30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355" w:type="dxa"/>
            <w:vAlign w:val="top"/>
          </w:tcPr>
          <w:p w14:paraId="7D6C6C47">
            <w:pPr>
              <w:spacing w:line="266" w:lineRule="auto"/>
              <w:rPr>
                <w:rFonts w:ascii="Arial"/>
                <w:sz w:val="21"/>
              </w:rPr>
            </w:pPr>
          </w:p>
          <w:p w14:paraId="147D0D46">
            <w:pPr>
              <w:spacing w:before="58" w:line="321" w:lineRule="auto"/>
              <w:ind w:left="116" w:right="659" w:hanging="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ITU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-R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S.1432</w:t>
            </w:r>
          </w:p>
        </w:tc>
        <w:tc>
          <w:tcPr>
            <w:tcW w:w="4849" w:type="dxa"/>
            <w:vAlign w:val="top"/>
          </w:tcPr>
          <w:p w14:paraId="160F812D">
            <w:pPr>
              <w:pStyle w:val="6"/>
              <w:spacing w:before="131" w:line="278" w:lineRule="auto"/>
              <w:ind w:left="117" w:right="102"/>
              <w:jc w:val="both"/>
            </w:pPr>
            <w:r>
              <w:rPr>
                <w:spacing w:val="11"/>
              </w:rPr>
              <w:t>对于工作在低于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30 </w:t>
            </w:r>
            <w:r>
              <w:rPr>
                <w:rFonts w:ascii="Times New Roman" w:hAnsi="Times New Roman" w:eastAsia="Times New Roman" w:cs="Times New Roman"/>
              </w:rPr>
              <w:t>GHz</w:t>
            </w:r>
            <w:r>
              <w:rPr>
                <w:rFonts w:ascii="Times New Roman" w:hAnsi="Times New Roman" w:eastAsia="Times New Roman" w:cs="Times New Roman"/>
                <w:spacing w:val="35"/>
              </w:rPr>
              <w:t xml:space="preserve"> </w:t>
            </w:r>
            <w:r>
              <w:rPr>
                <w:spacing w:val="11"/>
              </w:rPr>
              <w:t>的系统把由时不变干扰产</w:t>
            </w:r>
            <w:r>
              <w:t xml:space="preserve"> </w:t>
            </w:r>
            <w:r>
              <w:rPr>
                <w:spacing w:val="10"/>
              </w:rPr>
              <w:t>生的允许的差错性能恶化分配给卫星固定业务假设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参考数字通路</w:t>
            </w:r>
          </w:p>
        </w:tc>
        <w:tc>
          <w:tcPr>
            <w:tcW w:w="5906" w:type="dxa"/>
            <w:vAlign w:val="top"/>
          </w:tcPr>
          <w:p w14:paraId="22A2D9B9">
            <w:pPr>
              <w:pStyle w:val="6"/>
              <w:spacing w:before="287" w:line="273" w:lineRule="auto"/>
              <w:ind w:left="119" w:right="106" w:firstLine="1"/>
            </w:pPr>
            <w:r>
              <w:rPr>
                <w:spacing w:val="10"/>
              </w:rPr>
              <w:t>规定了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GHz</w:t>
            </w:r>
            <w:r>
              <w:rPr>
                <w:rFonts w:ascii="Times New Roman" w:hAnsi="Times New Roman" w:eastAsia="Times New Roman" w:cs="Times New Roman"/>
                <w:spacing w:val="43"/>
              </w:rPr>
              <w:t xml:space="preserve"> </w:t>
            </w:r>
            <w:r>
              <w:rPr>
                <w:spacing w:val="10"/>
              </w:rPr>
              <w:t>以下卫星固定业务假设参考数字路径的最大允</w:t>
            </w:r>
            <w:r>
              <w:t xml:space="preserve"> </w:t>
            </w:r>
            <w:r>
              <w:rPr>
                <w:spacing w:val="6"/>
              </w:rPr>
              <w:t>许总干扰水平。</w:t>
            </w:r>
          </w:p>
        </w:tc>
      </w:tr>
      <w:tr w14:paraId="5AEB37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1133" w:type="dxa"/>
            <w:vMerge w:val="continue"/>
            <w:tcBorders>
              <w:top w:val="nil"/>
              <w:bottom w:val="nil"/>
            </w:tcBorders>
            <w:vAlign w:val="top"/>
          </w:tcPr>
          <w:p w14:paraId="1FF5B391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6C503481">
            <w:pPr>
              <w:spacing w:line="259" w:lineRule="auto"/>
              <w:rPr>
                <w:rFonts w:ascii="Arial"/>
                <w:sz w:val="21"/>
              </w:rPr>
            </w:pPr>
          </w:p>
          <w:p w14:paraId="76BB4FD5">
            <w:pPr>
              <w:spacing w:line="259" w:lineRule="auto"/>
              <w:rPr>
                <w:rFonts w:ascii="Arial"/>
                <w:sz w:val="21"/>
              </w:rPr>
            </w:pPr>
          </w:p>
          <w:p w14:paraId="13268109">
            <w:pPr>
              <w:spacing w:before="58" w:line="195" w:lineRule="auto"/>
              <w:ind w:left="3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355" w:type="dxa"/>
            <w:vAlign w:val="top"/>
          </w:tcPr>
          <w:p w14:paraId="4C1B4F52">
            <w:pPr>
              <w:spacing w:line="366" w:lineRule="auto"/>
              <w:rPr>
                <w:rFonts w:ascii="Arial"/>
                <w:sz w:val="21"/>
              </w:rPr>
            </w:pPr>
          </w:p>
          <w:p w14:paraId="4575BEC7">
            <w:pPr>
              <w:spacing w:before="58" w:line="321" w:lineRule="auto"/>
              <w:ind w:left="116" w:right="659" w:hanging="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ITU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-R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S.1591</w:t>
            </w:r>
          </w:p>
        </w:tc>
        <w:tc>
          <w:tcPr>
            <w:tcW w:w="4849" w:type="dxa"/>
            <w:vAlign w:val="top"/>
          </w:tcPr>
          <w:p w14:paraId="4F5B434D">
            <w:pPr>
              <w:pStyle w:val="6"/>
              <w:spacing w:before="74" w:line="280" w:lineRule="auto"/>
              <w:ind w:left="112" w:right="96" w:firstLine="13"/>
              <w:jc w:val="both"/>
            </w:pPr>
            <w:r>
              <w:rPr>
                <w:spacing w:val="16"/>
              </w:rPr>
              <w:t>非对地静止轨道</w:t>
            </w:r>
            <w:r>
              <w:rPr>
                <w:rFonts w:ascii="Times New Roman" w:hAnsi="Times New Roman" w:eastAsia="Times New Roman" w:cs="Times New Roman"/>
                <w:spacing w:val="16"/>
              </w:rPr>
              <w:t>/</w:t>
            </w:r>
            <w:r>
              <w:rPr>
                <w:spacing w:val="16"/>
              </w:rPr>
              <w:t>对地静止轨道卫星间链路之间和</w:t>
            </w:r>
            <w:r>
              <w:rPr>
                <w:spacing w:val="13"/>
              </w:rPr>
              <w:t xml:space="preserve"> </w:t>
            </w:r>
            <w:r>
              <w:rPr>
                <w:spacing w:val="16"/>
              </w:rPr>
              <w:t>对地静止轨道</w:t>
            </w:r>
            <w:r>
              <w:rPr>
                <w:rFonts w:ascii="Times New Roman" w:hAnsi="Times New Roman" w:eastAsia="Times New Roman" w:cs="Times New Roman"/>
                <w:spacing w:val="16"/>
              </w:rPr>
              <w:t>/</w:t>
            </w:r>
            <w:r>
              <w:rPr>
                <w:spacing w:val="16"/>
              </w:rPr>
              <w:t>对地静止轨道卫星间链路之间的</w:t>
            </w:r>
            <w:r>
              <w:rPr>
                <w:rFonts w:ascii="Times New Roman" w:hAnsi="Times New Roman" w:eastAsia="Times New Roman" w:cs="Times New Roman"/>
                <w:spacing w:val="16"/>
              </w:rPr>
              <w:t>23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GHz</w:t>
            </w:r>
            <w:r>
              <w:rPr>
                <w:spacing w:val="4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32.5 </w:t>
            </w:r>
            <w:r>
              <w:rPr>
                <w:rFonts w:ascii="Times New Roman" w:hAnsi="Times New Roman" w:eastAsia="Times New Roman" w:cs="Times New Roman"/>
              </w:rPr>
              <w:t>GHz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4"/>
              </w:rPr>
              <w:t>和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64.5 </w:t>
            </w:r>
            <w:r>
              <w:rPr>
                <w:rFonts w:ascii="Times New Roman" w:hAnsi="Times New Roman" w:eastAsia="Times New Roman" w:cs="Times New Roman"/>
              </w:rPr>
              <w:t>GHz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4"/>
              </w:rPr>
              <w:t>频段内的卫星间链路频</w:t>
            </w:r>
            <w:r>
              <w:t xml:space="preserve"> </w:t>
            </w:r>
            <w:r>
              <w:rPr>
                <w:spacing w:val="7"/>
              </w:rPr>
              <w:t>段的共用</w:t>
            </w:r>
          </w:p>
        </w:tc>
        <w:tc>
          <w:tcPr>
            <w:tcW w:w="5906" w:type="dxa"/>
            <w:vAlign w:val="top"/>
          </w:tcPr>
          <w:p w14:paraId="1FDB3D4D">
            <w:pPr>
              <w:pStyle w:val="6"/>
              <w:spacing w:before="74" w:line="280" w:lineRule="auto"/>
              <w:ind w:left="112" w:right="47" w:firstLine="6"/>
              <w:jc w:val="both"/>
            </w:pPr>
            <w:r>
              <w:rPr>
                <w:spacing w:val="5"/>
              </w:rPr>
              <w:t>对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 xml:space="preserve">于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22.55-23.55  </w:t>
            </w:r>
            <w:r>
              <w:rPr>
                <w:rFonts w:ascii="Times New Roman" w:hAnsi="Times New Roman" w:eastAsia="Times New Roman" w:cs="Times New Roman"/>
              </w:rPr>
              <w:t>GHz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5"/>
              </w:rPr>
              <w:t>、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24.45-24.75  </w:t>
            </w:r>
            <w:r>
              <w:rPr>
                <w:rFonts w:ascii="Times New Roman" w:hAnsi="Times New Roman" w:eastAsia="Times New Roman" w:cs="Times New Roman"/>
              </w:rPr>
              <w:t>GHz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5"/>
              </w:rPr>
              <w:t>、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32.0-33  </w:t>
            </w:r>
            <w:r>
              <w:rPr>
                <w:rFonts w:ascii="Times New Roman" w:hAnsi="Times New Roman" w:eastAsia="Times New Roman" w:cs="Times New Roman"/>
              </w:rPr>
              <w:t>GHz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  </w:t>
            </w:r>
            <w:r>
              <w:rPr>
                <w:spacing w:val="5"/>
              </w:rPr>
              <w:t>与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59.3-71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GHz</w:t>
            </w:r>
            <w:r>
              <w:rPr>
                <w:rFonts w:ascii="Times New Roman" w:hAnsi="Times New Roman" w:eastAsia="Times New Roman" w:cs="Times New Roman"/>
                <w:spacing w:val="26"/>
              </w:rPr>
              <w:t xml:space="preserve"> </w:t>
            </w:r>
            <w:r>
              <w:rPr>
                <w:spacing w:val="10"/>
              </w:rPr>
              <w:t>频段范围，非对地静止轨道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/</w:t>
            </w:r>
            <w:r>
              <w:rPr>
                <w:spacing w:val="10"/>
              </w:rPr>
              <w:t>对地静止</w:t>
            </w:r>
            <w:r>
              <w:rPr>
                <w:spacing w:val="9"/>
              </w:rPr>
              <w:t>轨道卫星间</w:t>
            </w:r>
            <w:r>
              <w:t xml:space="preserve"> </w:t>
            </w:r>
            <w:r>
              <w:rPr>
                <w:spacing w:val="16"/>
              </w:rPr>
              <w:t>链路之间和对地静止轨道</w:t>
            </w:r>
            <w:r>
              <w:rPr>
                <w:rFonts w:ascii="Times New Roman" w:hAnsi="Times New Roman" w:eastAsia="Times New Roman" w:cs="Times New Roman"/>
                <w:spacing w:val="16"/>
              </w:rPr>
              <w:t>/</w:t>
            </w:r>
            <w:r>
              <w:rPr>
                <w:spacing w:val="16"/>
              </w:rPr>
              <w:t>对地静止轨道卫星</w:t>
            </w:r>
            <w:r>
              <w:rPr>
                <w:spacing w:val="15"/>
              </w:rPr>
              <w:t>间链路之间的卫</w:t>
            </w:r>
            <w:r>
              <w:t xml:space="preserve"> </w:t>
            </w:r>
            <w:r>
              <w:rPr>
                <w:spacing w:val="8"/>
              </w:rPr>
              <w:t>星间链路干扰保护标准。</w:t>
            </w:r>
          </w:p>
        </w:tc>
      </w:tr>
      <w:tr w14:paraId="6A60DE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133" w:type="dxa"/>
            <w:vMerge w:val="continue"/>
            <w:tcBorders>
              <w:top w:val="nil"/>
              <w:bottom w:val="nil"/>
            </w:tcBorders>
            <w:vAlign w:val="top"/>
          </w:tcPr>
          <w:p w14:paraId="4881EC03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6EF2BB11">
            <w:pPr>
              <w:spacing w:line="242" w:lineRule="auto"/>
              <w:rPr>
                <w:rFonts w:ascii="Arial"/>
                <w:sz w:val="21"/>
              </w:rPr>
            </w:pPr>
          </w:p>
          <w:p w14:paraId="7CEFD457">
            <w:pPr>
              <w:spacing w:before="57" w:line="195" w:lineRule="auto"/>
              <w:ind w:left="3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1355" w:type="dxa"/>
            <w:vAlign w:val="top"/>
          </w:tcPr>
          <w:p w14:paraId="31642697">
            <w:pPr>
              <w:spacing w:before="148" w:line="303" w:lineRule="auto"/>
              <w:ind w:left="116" w:right="659" w:hanging="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ITU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-R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S.1899</w:t>
            </w:r>
          </w:p>
        </w:tc>
        <w:tc>
          <w:tcPr>
            <w:tcW w:w="4849" w:type="dxa"/>
            <w:vAlign w:val="top"/>
          </w:tcPr>
          <w:p w14:paraId="0EC0D3D3">
            <w:pPr>
              <w:pStyle w:val="6"/>
              <w:spacing w:before="109" w:line="272" w:lineRule="auto"/>
              <w:ind w:left="117" w:right="99" w:hanging="8"/>
            </w:pPr>
            <w:r>
              <w:rPr>
                <w:rFonts w:ascii="Times New Roman" w:hAnsi="Times New Roman" w:eastAsia="Times New Roman" w:cs="Times New Roman"/>
                <w:spacing w:val="12"/>
              </w:rPr>
              <w:t>23.183-23.377</w:t>
            </w:r>
            <w:r>
              <w:rPr>
                <w:rFonts w:ascii="Times New Roman" w:hAnsi="Times New Roman" w:eastAsia="Times New Roman" w:cs="Times New Roman"/>
                <w:spacing w:val="3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GHz</w:t>
            </w:r>
            <w:r>
              <w:rPr>
                <w:rFonts w:ascii="Times New Roman" w:hAnsi="Times New Roman" w:eastAsia="Times New Roman" w:cs="Times New Roman"/>
                <w:spacing w:val="38"/>
              </w:rPr>
              <w:t xml:space="preserve"> </w:t>
            </w:r>
            <w:r>
              <w:rPr>
                <w:spacing w:val="12"/>
              </w:rPr>
              <w:t>频段非对地静止轨道卫星间链</w:t>
            </w:r>
            <w:r>
              <w:t xml:space="preserve"> </w:t>
            </w:r>
            <w:r>
              <w:rPr>
                <w:spacing w:val="9"/>
              </w:rPr>
              <w:t>路相对于空间研究业务的保护标准和干扰评估方法</w:t>
            </w:r>
          </w:p>
        </w:tc>
        <w:tc>
          <w:tcPr>
            <w:tcW w:w="5906" w:type="dxa"/>
            <w:vAlign w:val="top"/>
          </w:tcPr>
          <w:p w14:paraId="2E315491">
            <w:pPr>
              <w:pStyle w:val="6"/>
              <w:spacing w:before="110" w:line="272" w:lineRule="auto"/>
              <w:ind w:left="135" w:right="106" w:hanging="25"/>
            </w:pPr>
            <w:r>
              <w:rPr>
                <w:rFonts w:ascii="Times New Roman" w:hAnsi="Times New Roman" w:eastAsia="Times New Roman" w:cs="Times New Roman"/>
                <w:spacing w:val="12"/>
              </w:rPr>
              <w:t>23.183-23.377</w:t>
            </w:r>
            <w:r>
              <w:rPr>
                <w:rFonts w:ascii="Times New Roman" w:hAnsi="Times New Roman" w:eastAsia="Times New Roman" w:cs="Times New Roman"/>
                <w:spacing w:val="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GHz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</w:rPr>
              <w:t xml:space="preserve"> </w:t>
            </w:r>
            <w:r>
              <w:rPr>
                <w:spacing w:val="12"/>
              </w:rPr>
              <w:t>频段非对地静止轨道卫星间链路相对于空</w:t>
            </w:r>
            <w:r>
              <w:t xml:space="preserve"> </w:t>
            </w:r>
            <w:r>
              <w:rPr>
                <w:spacing w:val="6"/>
              </w:rPr>
              <w:t>间研究业务的干扰保护标准。</w:t>
            </w:r>
          </w:p>
        </w:tc>
      </w:tr>
      <w:tr w14:paraId="1E73E3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133" w:type="dxa"/>
            <w:vMerge w:val="continue"/>
            <w:tcBorders>
              <w:top w:val="nil"/>
            </w:tcBorders>
            <w:vAlign w:val="top"/>
          </w:tcPr>
          <w:p w14:paraId="40EAFF92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3E1B41C6">
            <w:pPr>
              <w:spacing w:line="257" w:lineRule="auto"/>
              <w:rPr>
                <w:rFonts w:ascii="Arial"/>
                <w:sz w:val="21"/>
              </w:rPr>
            </w:pPr>
          </w:p>
          <w:p w14:paraId="7776ACF6">
            <w:pPr>
              <w:spacing w:before="57" w:line="192" w:lineRule="auto"/>
              <w:ind w:left="30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355" w:type="dxa"/>
            <w:vAlign w:val="top"/>
          </w:tcPr>
          <w:p w14:paraId="4011F2AE">
            <w:pPr>
              <w:spacing w:before="159" w:line="307" w:lineRule="auto"/>
              <w:ind w:left="116" w:right="558" w:hanging="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ITU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-R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SF.1006</w:t>
            </w:r>
          </w:p>
        </w:tc>
        <w:tc>
          <w:tcPr>
            <w:tcW w:w="4849" w:type="dxa"/>
            <w:vAlign w:val="top"/>
          </w:tcPr>
          <w:p w14:paraId="163C3C24">
            <w:pPr>
              <w:pStyle w:val="6"/>
              <w:spacing w:before="123" w:line="272" w:lineRule="auto"/>
              <w:ind w:left="130" w:right="104" w:hanging="12"/>
            </w:pPr>
            <w:r>
              <w:rPr>
                <w:spacing w:val="10"/>
              </w:rPr>
              <w:t>卫星固定业务的地球台站与固定业务中的站点之间</w:t>
            </w:r>
            <w:r>
              <w:t xml:space="preserve"> </w:t>
            </w:r>
            <w:r>
              <w:rPr>
                <w:spacing w:val="6"/>
              </w:rPr>
              <w:t>的干扰电位的确定</w:t>
            </w:r>
          </w:p>
        </w:tc>
        <w:tc>
          <w:tcPr>
            <w:tcW w:w="5906" w:type="dxa"/>
            <w:vAlign w:val="top"/>
          </w:tcPr>
          <w:p w14:paraId="3331D218">
            <w:pPr>
              <w:pStyle w:val="6"/>
              <w:spacing w:before="122" w:line="273" w:lineRule="auto"/>
              <w:ind w:left="116" w:right="109" w:hanging="2"/>
            </w:pPr>
            <w:r>
              <w:rPr>
                <w:spacing w:val="10"/>
              </w:rPr>
              <w:t>评估协调区域内固定业务中的地球站与特定台站之间的潜在干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扰的方法。</w:t>
            </w:r>
          </w:p>
        </w:tc>
      </w:tr>
      <w:tr w14:paraId="4FBD70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133" w:type="dxa"/>
            <w:vAlign w:val="top"/>
          </w:tcPr>
          <w:p w14:paraId="465E6228">
            <w:pPr>
              <w:pStyle w:val="6"/>
              <w:spacing w:before="156" w:line="273" w:lineRule="auto"/>
              <w:ind w:left="151" w:right="141" w:firstLine="5"/>
            </w:pPr>
            <w:r>
              <w:rPr>
                <w:b/>
                <w:bCs/>
                <w:spacing w:val="5"/>
              </w:rPr>
              <w:t>卫星地球</w:t>
            </w:r>
            <w:r>
              <w:t xml:space="preserve"> </w:t>
            </w:r>
            <w:r>
              <w:rPr>
                <w:b/>
                <w:bCs/>
                <w:spacing w:val="6"/>
              </w:rPr>
              <w:t>探测业务</w:t>
            </w:r>
          </w:p>
        </w:tc>
        <w:tc>
          <w:tcPr>
            <w:tcW w:w="709" w:type="dxa"/>
            <w:vAlign w:val="top"/>
          </w:tcPr>
          <w:p w14:paraId="3A149791">
            <w:pPr>
              <w:spacing w:line="287" w:lineRule="auto"/>
              <w:rPr>
                <w:rFonts w:ascii="Arial"/>
                <w:sz w:val="21"/>
              </w:rPr>
            </w:pPr>
          </w:p>
          <w:p w14:paraId="25CB926C">
            <w:pPr>
              <w:spacing w:before="58" w:line="195" w:lineRule="auto"/>
              <w:ind w:left="3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  <w:vAlign w:val="top"/>
          </w:tcPr>
          <w:p w14:paraId="33FA7BB3">
            <w:pPr>
              <w:spacing w:before="194" w:line="192" w:lineRule="auto"/>
              <w:ind w:left="1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ITU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-R</w:t>
            </w:r>
          </w:p>
          <w:p w14:paraId="61270434">
            <w:pPr>
              <w:spacing w:before="125" w:line="195" w:lineRule="auto"/>
              <w:ind w:left="10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RS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.1166</w:t>
            </w:r>
          </w:p>
        </w:tc>
        <w:tc>
          <w:tcPr>
            <w:tcW w:w="4849" w:type="dxa"/>
            <w:vAlign w:val="top"/>
          </w:tcPr>
          <w:p w14:paraId="737AD19C">
            <w:pPr>
              <w:spacing w:line="245" w:lineRule="auto"/>
              <w:rPr>
                <w:rFonts w:ascii="Arial"/>
                <w:sz w:val="21"/>
              </w:rPr>
            </w:pPr>
          </w:p>
          <w:p w14:paraId="641C6878">
            <w:pPr>
              <w:pStyle w:val="6"/>
              <w:spacing w:before="65" w:line="223" w:lineRule="auto"/>
              <w:ind w:left="122"/>
            </w:pPr>
            <w:r>
              <w:rPr>
                <w:spacing w:val="8"/>
              </w:rPr>
              <w:t>星载传感器（有源）的性能和干扰准则</w:t>
            </w:r>
          </w:p>
        </w:tc>
        <w:tc>
          <w:tcPr>
            <w:tcW w:w="5906" w:type="dxa"/>
            <w:vAlign w:val="top"/>
          </w:tcPr>
          <w:p w14:paraId="4B6BF8E5">
            <w:pPr>
              <w:pStyle w:val="6"/>
              <w:spacing w:before="156" w:line="272" w:lineRule="auto"/>
              <w:ind w:left="126" w:right="108" w:hanging="9"/>
            </w:pPr>
            <w:r>
              <w:rPr>
                <w:spacing w:val="10"/>
              </w:rPr>
              <w:t>适用于星载高度计、散射计、测雨雷达、合成孔径雷达、云廓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线雷达等的干扰保护。</w:t>
            </w:r>
          </w:p>
        </w:tc>
      </w:tr>
    </w:tbl>
    <w:p w14:paraId="27902E06">
      <w:pPr>
        <w:rPr>
          <w:rFonts w:ascii="Arial"/>
          <w:sz w:val="21"/>
        </w:rPr>
      </w:pPr>
    </w:p>
    <w:p w14:paraId="3C8A184B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6839" w:h="11906"/>
          <w:pgMar w:top="1012" w:right="1440" w:bottom="1200" w:left="1440" w:header="0" w:footer="1013" w:gutter="0"/>
          <w:cols w:space="720" w:num="1"/>
        </w:sectPr>
      </w:pPr>
    </w:p>
    <w:p w14:paraId="3EC10493">
      <w:pPr>
        <w:spacing w:before="103"/>
      </w:pPr>
    </w:p>
    <w:p w14:paraId="6FCF79CB">
      <w:pPr>
        <w:spacing w:before="103"/>
      </w:pPr>
    </w:p>
    <w:tbl>
      <w:tblPr>
        <w:tblStyle w:val="5"/>
        <w:tblW w:w="139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709"/>
        <w:gridCol w:w="1355"/>
        <w:gridCol w:w="4849"/>
        <w:gridCol w:w="5906"/>
      </w:tblGrid>
      <w:tr w14:paraId="24D0A9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133" w:type="dxa"/>
            <w:vAlign w:val="top"/>
          </w:tcPr>
          <w:p w14:paraId="6A2C9551">
            <w:pPr>
              <w:pStyle w:val="6"/>
              <w:spacing w:before="89" w:line="224" w:lineRule="auto"/>
              <w:ind w:left="160"/>
            </w:pPr>
            <w:r>
              <w:rPr>
                <w:b/>
                <w:bCs/>
                <w:spacing w:val="4"/>
              </w:rPr>
              <w:t>业务名称</w:t>
            </w:r>
          </w:p>
        </w:tc>
        <w:tc>
          <w:tcPr>
            <w:tcW w:w="709" w:type="dxa"/>
            <w:vAlign w:val="top"/>
          </w:tcPr>
          <w:p w14:paraId="5D6F5908">
            <w:pPr>
              <w:pStyle w:val="6"/>
              <w:spacing w:before="89" w:line="225" w:lineRule="auto"/>
              <w:ind w:left="145"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55" w:type="dxa"/>
            <w:vAlign w:val="top"/>
          </w:tcPr>
          <w:p w14:paraId="750552AF">
            <w:pPr>
              <w:pStyle w:val="6"/>
              <w:spacing w:before="88" w:line="227" w:lineRule="auto"/>
              <w:ind w:left="156"/>
            </w:pPr>
            <w:r>
              <w:rPr>
                <w:b/>
                <w:bCs/>
                <w:spacing w:val="6"/>
              </w:rPr>
              <w:t>建议书编号</w:t>
            </w:r>
          </w:p>
        </w:tc>
        <w:tc>
          <w:tcPr>
            <w:tcW w:w="4849" w:type="dxa"/>
            <w:vAlign w:val="top"/>
          </w:tcPr>
          <w:p w14:paraId="011B83F4">
            <w:pPr>
              <w:pStyle w:val="6"/>
              <w:spacing w:before="89" w:line="225" w:lineRule="auto"/>
              <w:ind w:left="2218"/>
            </w:pPr>
            <w:r>
              <w:rPr>
                <w:b/>
                <w:bCs/>
                <w:spacing w:val="4"/>
              </w:rPr>
              <w:t>标题</w:t>
            </w:r>
          </w:p>
        </w:tc>
        <w:tc>
          <w:tcPr>
            <w:tcW w:w="5906" w:type="dxa"/>
            <w:vAlign w:val="top"/>
          </w:tcPr>
          <w:p w14:paraId="708E8499">
            <w:pPr>
              <w:pStyle w:val="6"/>
              <w:spacing w:before="89" w:line="225" w:lineRule="auto"/>
              <w:ind w:left="2547"/>
            </w:pPr>
            <w:r>
              <w:rPr>
                <w:b/>
                <w:bCs/>
                <w:spacing w:val="4"/>
              </w:rPr>
              <w:t>主要内容</w:t>
            </w:r>
          </w:p>
        </w:tc>
      </w:tr>
      <w:tr w14:paraId="07F25E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133" w:type="dxa"/>
            <w:vMerge w:val="restart"/>
            <w:tcBorders>
              <w:bottom w:val="nil"/>
            </w:tcBorders>
            <w:vAlign w:val="top"/>
          </w:tcPr>
          <w:p w14:paraId="2553FC33">
            <w:pPr>
              <w:spacing w:line="243" w:lineRule="auto"/>
              <w:rPr>
                <w:rFonts w:ascii="Arial"/>
                <w:sz w:val="21"/>
              </w:rPr>
            </w:pPr>
          </w:p>
          <w:p w14:paraId="38562FC9">
            <w:pPr>
              <w:spacing w:line="243" w:lineRule="auto"/>
              <w:rPr>
                <w:rFonts w:ascii="Arial"/>
                <w:sz w:val="21"/>
              </w:rPr>
            </w:pPr>
          </w:p>
          <w:p w14:paraId="3768339B">
            <w:pPr>
              <w:spacing w:line="243" w:lineRule="auto"/>
              <w:rPr>
                <w:rFonts w:ascii="Arial"/>
                <w:sz w:val="21"/>
              </w:rPr>
            </w:pPr>
          </w:p>
          <w:p w14:paraId="018FFB80">
            <w:pPr>
              <w:spacing w:line="243" w:lineRule="auto"/>
              <w:rPr>
                <w:rFonts w:ascii="Arial"/>
                <w:sz w:val="21"/>
              </w:rPr>
            </w:pPr>
          </w:p>
          <w:p w14:paraId="5574B1E9">
            <w:pPr>
              <w:spacing w:line="243" w:lineRule="auto"/>
              <w:rPr>
                <w:rFonts w:ascii="Arial"/>
                <w:sz w:val="21"/>
              </w:rPr>
            </w:pPr>
          </w:p>
          <w:p w14:paraId="447E232F">
            <w:pPr>
              <w:spacing w:line="244" w:lineRule="auto"/>
              <w:rPr>
                <w:rFonts w:ascii="Arial"/>
                <w:sz w:val="21"/>
              </w:rPr>
            </w:pPr>
          </w:p>
          <w:p w14:paraId="4352F685">
            <w:pPr>
              <w:spacing w:line="244" w:lineRule="auto"/>
              <w:rPr>
                <w:rFonts w:ascii="Arial"/>
                <w:sz w:val="21"/>
              </w:rPr>
            </w:pPr>
          </w:p>
          <w:p w14:paraId="35A19BB7">
            <w:pPr>
              <w:spacing w:line="244" w:lineRule="auto"/>
              <w:rPr>
                <w:rFonts w:ascii="Arial"/>
                <w:sz w:val="21"/>
              </w:rPr>
            </w:pPr>
          </w:p>
          <w:p w14:paraId="51CA326F">
            <w:pPr>
              <w:spacing w:line="244" w:lineRule="auto"/>
              <w:rPr>
                <w:rFonts w:ascii="Arial"/>
                <w:sz w:val="21"/>
              </w:rPr>
            </w:pPr>
          </w:p>
          <w:p w14:paraId="67D24C5C">
            <w:pPr>
              <w:spacing w:line="244" w:lineRule="auto"/>
              <w:rPr>
                <w:rFonts w:ascii="Arial"/>
                <w:sz w:val="21"/>
              </w:rPr>
            </w:pPr>
          </w:p>
          <w:p w14:paraId="30B96D5E">
            <w:pPr>
              <w:spacing w:line="244" w:lineRule="auto"/>
              <w:rPr>
                <w:rFonts w:ascii="Arial"/>
                <w:sz w:val="21"/>
              </w:rPr>
            </w:pPr>
          </w:p>
          <w:p w14:paraId="0AD62598">
            <w:pPr>
              <w:spacing w:line="244" w:lineRule="auto"/>
              <w:rPr>
                <w:rFonts w:ascii="Arial"/>
                <w:sz w:val="21"/>
              </w:rPr>
            </w:pPr>
          </w:p>
          <w:p w14:paraId="03A1C20F">
            <w:pPr>
              <w:spacing w:line="244" w:lineRule="auto"/>
              <w:rPr>
                <w:rFonts w:ascii="Arial"/>
                <w:sz w:val="21"/>
              </w:rPr>
            </w:pPr>
          </w:p>
          <w:p w14:paraId="001BF114">
            <w:pPr>
              <w:spacing w:line="244" w:lineRule="auto"/>
              <w:rPr>
                <w:rFonts w:ascii="Arial"/>
                <w:sz w:val="21"/>
              </w:rPr>
            </w:pPr>
          </w:p>
          <w:p w14:paraId="4A1FA754">
            <w:pPr>
              <w:spacing w:line="244" w:lineRule="auto"/>
              <w:rPr>
                <w:rFonts w:ascii="Arial"/>
                <w:sz w:val="21"/>
              </w:rPr>
            </w:pPr>
          </w:p>
          <w:p w14:paraId="1B3B08D2">
            <w:pPr>
              <w:pStyle w:val="6"/>
              <w:spacing w:before="65" w:line="273" w:lineRule="auto"/>
              <w:ind w:left="151" w:right="141" w:firstLine="5"/>
            </w:pPr>
            <w:r>
              <w:rPr>
                <w:b/>
                <w:bCs/>
                <w:spacing w:val="5"/>
              </w:rPr>
              <w:t>卫星地球</w:t>
            </w:r>
            <w:r>
              <w:t xml:space="preserve"> </w:t>
            </w:r>
            <w:r>
              <w:rPr>
                <w:b/>
                <w:bCs/>
                <w:spacing w:val="6"/>
              </w:rPr>
              <w:t>探测业务</w:t>
            </w:r>
          </w:p>
        </w:tc>
        <w:tc>
          <w:tcPr>
            <w:tcW w:w="709" w:type="dxa"/>
            <w:vAlign w:val="top"/>
          </w:tcPr>
          <w:p w14:paraId="3025347E">
            <w:pPr>
              <w:spacing w:before="257" w:line="195" w:lineRule="auto"/>
              <w:ind w:left="30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355" w:type="dxa"/>
            <w:vAlign w:val="top"/>
          </w:tcPr>
          <w:p w14:paraId="53F59C4E">
            <w:pPr>
              <w:spacing w:before="103" w:line="192" w:lineRule="auto"/>
              <w:ind w:left="1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ITU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-R</w:t>
            </w:r>
          </w:p>
          <w:p w14:paraId="5CD59CEA">
            <w:pPr>
              <w:spacing w:before="125" w:line="195" w:lineRule="auto"/>
              <w:ind w:left="10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RS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.1261</w:t>
            </w:r>
          </w:p>
        </w:tc>
        <w:tc>
          <w:tcPr>
            <w:tcW w:w="4849" w:type="dxa"/>
            <w:vAlign w:val="top"/>
          </w:tcPr>
          <w:p w14:paraId="47B00E4D">
            <w:pPr>
              <w:pStyle w:val="6"/>
              <w:spacing w:before="65" w:line="268" w:lineRule="auto"/>
              <w:ind w:left="130" w:right="102" w:hanging="8"/>
            </w:pPr>
            <w:r>
              <w:rPr>
                <w:spacing w:val="8"/>
              </w:rPr>
              <w:t>星载测云雷达和其他业务之间共享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92-95 </w:t>
            </w:r>
            <w:r>
              <w:rPr>
                <w:rFonts w:ascii="Times New Roman" w:hAnsi="Times New Roman" w:eastAsia="Times New Roman" w:cs="Times New Roman"/>
              </w:rPr>
              <w:t>GHz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>
                <w:spacing w:val="8"/>
              </w:rPr>
              <w:t>频段</w:t>
            </w:r>
            <w:r>
              <w:t xml:space="preserve"> </w:t>
            </w:r>
            <w:r>
              <w:rPr>
                <w:spacing w:val="5"/>
              </w:rPr>
              <w:t>范围的可能性</w:t>
            </w:r>
          </w:p>
        </w:tc>
        <w:tc>
          <w:tcPr>
            <w:tcW w:w="5906" w:type="dxa"/>
            <w:vAlign w:val="top"/>
          </w:tcPr>
          <w:p w14:paraId="60041337">
            <w:pPr>
              <w:pStyle w:val="6"/>
              <w:spacing w:before="65" w:line="268" w:lineRule="auto"/>
              <w:ind w:left="123" w:right="104" w:hanging="6"/>
            </w:pPr>
            <w:r>
              <w:rPr>
                <w:spacing w:val="9"/>
              </w:rPr>
              <w:t>在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92-95 </w:t>
            </w:r>
            <w:r>
              <w:rPr>
                <w:rFonts w:ascii="Times New Roman" w:hAnsi="Times New Roman" w:eastAsia="Times New Roman" w:cs="Times New Roman"/>
              </w:rPr>
              <w:t>GHz</w:t>
            </w:r>
            <w:r>
              <w:rPr>
                <w:rFonts w:ascii="Times New Roman" w:hAnsi="Times New Roman" w:eastAsia="Times New Roman" w:cs="Times New Roman"/>
                <w:spacing w:val="26"/>
              </w:rPr>
              <w:t xml:space="preserve"> </w:t>
            </w:r>
            <w:r>
              <w:rPr>
                <w:spacing w:val="9"/>
              </w:rPr>
              <w:t>频段范围，星载测云雷达与其他</w:t>
            </w:r>
            <w:r>
              <w:rPr>
                <w:spacing w:val="8"/>
              </w:rPr>
              <w:t>业务共享频谱的</w:t>
            </w:r>
            <w:r>
              <w:t xml:space="preserve"> </w:t>
            </w:r>
            <w:r>
              <w:rPr>
                <w:spacing w:val="2"/>
              </w:rPr>
              <w:t>可行性。</w:t>
            </w:r>
          </w:p>
        </w:tc>
      </w:tr>
      <w:tr w14:paraId="72D22F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133" w:type="dxa"/>
            <w:vMerge w:val="continue"/>
            <w:tcBorders>
              <w:top w:val="nil"/>
              <w:bottom w:val="nil"/>
            </w:tcBorders>
            <w:vAlign w:val="top"/>
          </w:tcPr>
          <w:p w14:paraId="4257BE2F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47937228">
            <w:pPr>
              <w:spacing w:before="267" w:line="195" w:lineRule="auto"/>
              <w:ind w:left="3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355" w:type="dxa"/>
            <w:vAlign w:val="top"/>
          </w:tcPr>
          <w:p w14:paraId="03BE4F66">
            <w:pPr>
              <w:spacing w:before="114" w:line="192" w:lineRule="auto"/>
              <w:ind w:left="1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ITU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-R</w:t>
            </w:r>
          </w:p>
          <w:p w14:paraId="30CA0C54">
            <w:pPr>
              <w:spacing w:before="125" w:line="195" w:lineRule="auto"/>
              <w:ind w:left="10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RS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.1279</w:t>
            </w:r>
          </w:p>
        </w:tc>
        <w:tc>
          <w:tcPr>
            <w:tcW w:w="4849" w:type="dxa"/>
            <w:vAlign w:val="top"/>
          </w:tcPr>
          <w:p w14:paraId="7FB9674A">
            <w:pPr>
              <w:pStyle w:val="6"/>
              <w:spacing w:before="77" w:line="271" w:lineRule="auto"/>
              <w:ind w:left="142" w:right="100" w:hanging="20"/>
            </w:pPr>
            <w:r>
              <w:rPr>
                <w:spacing w:val="13"/>
              </w:rPr>
              <w:t>星载无源传感器和卫星间链路共享</w:t>
            </w:r>
            <w:r>
              <w:rPr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50.2-59.3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GHz </w:t>
            </w:r>
            <w:r>
              <w:t>内的频谱</w:t>
            </w:r>
          </w:p>
        </w:tc>
        <w:tc>
          <w:tcPr>
            <w:tcW w:w="5906" w:type="dxa"/>
            <w:vAlign w:val="top"/>
          </w:tcPr>
          <w:p w14:paraId="7F18E4D8">
            <w:pPr>
              <w:pStyle w:val="6"/>
              <w:spacing w:before="77" w:line="271" w:lineRule="auto"/>
              <w:ind w:left="132" w:right="104" w:hanging="6"/>
            </w:pPr>
            <w:r>
              <w:rPr>
                <w:spacing w:val="10"/>
              </w:rPr>
              <w:t>非对地静止轨道的干扰研究结果以及在</w:t>
            </w:r>
            <w:r>
              <w:rPr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50.2-59.3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GHz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10"/>
              </w:rPr>
              <w:t>频段范</w:t>
            </w:r>
            <w:r>
              <w:t xml:space="preserve"> </w:t>
            </w:r>
            <w:r>
              <w:rPr>
                <w:spacing w:val="8"/>
              </w:rPr>
              <w:t>围，星载无源传感器和卫星间链路之间共享频谱。</w:t>
            </w:r>
          </w:p>
        </w:tc>
      </w:tr>
      <w:tr w14:paraId="6BEADD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133" w:type="dxa"/>
            <w:vMerge w:val="continue"/>
            <w:tcBorders>
              <w:top w:val="nil"/>
              <w:bottom w:val="nil"/>
            </w:tcBorders>
            <w:vAlign w:val="top"/>
          </w:tcPr>
          <w:p w14:paraId="58DB851B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35EB1876">
            <w:pPr>
              <w:spacing w:before="260" w:line="195" w:lineRule="auto"/>
              <w:ind w:left="3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1355" w:type="dxa"/>
            <w:vAlign w:val="top"/>
          </w:tcPr>
          <w:p w14:paraId="1B43F01D">
            <w:pPr>
              <w:spacing w:before="106" w:line="192" w:lineRule="auto"/>
              <w:ind w:left="1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ITU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-R</w:t>
            </w:r>
          </w:p>
          <w:p w14:paraId="65477C88">
            <w:pPr>
              <w:spacing w:before="125" w:line="195" w:lineRule="auto"/>
              <w:ind w:left="10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RS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.1281</w:t>
            </w:r>
          </w:p>
        </w:tc>
        <w:tc>
          <w:tcPr>
            <w:tcW w:w="4849" w:type="dxa"/>
            <w:vAlign w:val="top"/>
          </w:tcPr>
          <w:p w14:paraId="404C2634">
            <w:pPr>
              <w:pStyle w:val="6"/>
              <w:spacing w:before="68" w:line="267" w:lineRule="auto"/>
              <w:ind w:left="117" w:right="102" w:hanging="7"/>
            </w:pPr>
            <w:r>
              <w:rPr>
                <w:spacing w:val="7"/>
              </w:rPr>
              <w:t>保护无线电定位业务台站免受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13.4-13.75 </w:t>
            </w:r>
            <w:r>
              <w:rPr>
                <w:rFonts w:ascii="Times New Roman" w:hAnsi="Times New Roman" w:eastAsia="Times New Roman" w:cs="Times New Roman"/>
              </w:rPr>
              <w:t>GHz</w:t>
            </w:r>
            <w:r>
              <w:rPr>
                <w:rFonts w:ascii="Times New Roman" w:hAnsi="Times New Roman" w:eastAsia="Times New Roman" w:cs="Times New Roman"/>
                <w:spacing w:val="26"/>
              </w:rPr>
              <w:t xml:space="preserve"> </w:t>
            </w:r>
            <w:r>
              <w:rPr>
                <w:spacing w:val="6"/>
              </w:rPr>
              <w:t>频段</w:t>
            </w:r>
            <w:r>
              <w:t xml:space="preserve"> </w:t>
            </w:r>
            <w:r>
              <w:rPr>
                <w:spacing w:val="8"/>
              </w:rPr>
              <w:t>有源星载传感器发射的影响</w:t>
            </w:r>
          </w:p>
        </w:tc>
        <w:tc>
          <w:tcPr>
            <w:tcW w:w="5906" w:type="dxa"/>
            <w:vAlign w:val="top"/>
          </w:tcPr>
          <w:p w14:paraId="799A1388">
            <w:pPr>
              <w:pStyle w:val="6"/>
              <w:spacing w:before="224" w:line="224" w:lineRule="auto"/>
              <w:ind w:left="117"/>
            </w:pPr>
            <w:r>
              <w:rPr>
                <w:spacing w:val="8"/>
              </w:rPr>
              <w:t>特定频段对地面无线电定位业务的保护。</w:t>
            </w:r>
          </w:p>
        </w:tc>
      </w:tr>
      <w:tr w14:paraId="3B971B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133" w:type="dxa"/>
            <w:vMerge w:val="continue"/>
            <w:tcBorders>
              <w:top w:val="nil"/>
              <w:bottom w:val="nil"/>
            </w:tcBorders>
            <w:vAlign w:val="top"/>
          </w:tcPr>
          <w:p w14:paraId="45DB59D8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74227E7F">
            <w:pPr>
              <w:spacing w:before="260" w:line="192" w:lineRule="auto"/>
              <w:ind w:left="30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355" w:type="dxa"/>
            <w:vAlign w:val="top"/>
          </w:tcPr>
          <w:p w14:paraId="53EDE04D">
            <w:pPr>
              <w:spacing w:before="104" w:line="192" w:lineRule="auto"/>
              <w:ind w:left="1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ITU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-R</w:t>
            </w:r>
          </w:p>
          <w:p w14:paraId="6B6D497F">
            <w:pPr>
              <w:spacing w:before="125" w:line="195" w:lineRule="auto"/>
              <w:ind w:left="10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RS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.1416</w:t>
            </w:r>
          </w:p>
        </w:tc>
        <w:tc>
          <w:tcPr>
            <w:tcW w:w="4849" w:type="dxa"/>
            <w:vAlign w:val="top"/>
          </w:tcPr>
          <w:p w14:paraId="66CFA14A">
            <w:pPr>
              <w:pStyle w:val="6"/>
              <w:spacing w:before="67" w:line="267" w:lineRule="auto"/>
              <w:ind w:left="123" w:right="99" w:hanging="8"/>
            </w:pPr>
            <w:r>
              <w:rPr>
                <w:spacing w:val="5"/>
              </w:rPr>
              <w:t>在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118 </w:t>
            </w:r>
            <w:r>
              <w:rPr>
                <w:rFonts w:ascii="Times New Roman" w:hAnsi="Times New Roman" w:eastAsia="Times New Roman" w:cs="Times New Roman"/>
              </w:rPr>
              <w:t>GHz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 </w:t>
            </w:r>
            <w:r>
              <w:rPr>
                <w:spacing w:val="5"/>
              </w:rPr>
              <w:t>和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183 </w:t>
            </w:r>
            <w:r>
              <w:rPr>
                <w:rFonts w:ascii="Times New Roman" w:hAnsi="Times New Roman" w:eastAsia="Times New Roman" w:cs="Times New Roman"/>
              </w:rPr>
              <w:t>GHz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5"/>
              </w:rPr>
              <w:t>附近运行的星载无源传感器</w:t>
            </w:r>
            <w:r>
              <w:t xml:space="preserve"> </w:t>
            </w:r>
            <w:r>
              <w:rPr>
                <w:spacing w:val="8"/>
              </w:rPr>
              <w:t>与卫星间业务之间的频率共用</w:t>
            </w:r>
          </w:p>
        </w:tc>
        <w:tc>
          <w:tcPr>
            <w:tcW w:w="5906" w:type="dxa"/>
            <w:vAlign w:val="top"/>
          </w:tcPr>
          <w:p w14:paraId="2879C69A">
            <w:pPr>
              <w:pStyle w:val="6"/>
              <w:spacing w:before="67" w:line="267" w:lineRule="auto"/>
              <w:ind w:left="114" w:right="101" w:firstLine="2"/>
            </w:pPr>
            <w:r>
              <w:rPr>
                <w:spacing w:val="4"/>
              </w:rPr>
              <w:t>在</w:t>
            </w:r>
            <w:r>
              <w:rPr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118 </w:t>
            </w:r>
            <w:r>
              <w:rPr>
                <w:rFonts w:ascii="Times New Roman" w:hAnsi="Times New Roman" w:eastAsia="Times New Roman" w:cs="Times New Roman"/>
              </w:rPr>
              <w:t>GHz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4"/>
              </w:rPr>
              <w:t>和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183 </w:t>
            </w:r>
            <w:r>
              <w:rPr>
                <w:rFonts w:ascii="Times New Roman" w:hAnsi="Times New Roman" w:eastAsia="Times New Roman" w:cs="Times New Roman"/>
              </w:rPr>
              <w:t>GHz</w:t>
            </w:r>
            <w:r>
              <w:rPr>
                <w:rFonts w:ascii="Times New Roman" w:hAnsi="Times New Roman" w:eastAsia="Times New Roman" w:cs="Times New Roman"/>
                <w:spacing w:val="26"/>
              </w:rPr>
              <w:t xml:space="preserve"> </w:t>
            </w:r>
            <w:r>
              <w:rPr>
                <w:spacing w:val="4"/>
              </w:rPr>
              <w:t>频段附近，星载无源传感器（卫星地球</w:t>
            </w:r>
            <w:r>
              <w:t xml:space="preserve"> </w:t>
            </w:r>
            <w:r>
              <w:rPr>
                <w:spacing w:val="8"/>
              </w:rPr>
              <w:t>探测业务）和国际空间电台共享频谱。</w:t>
            </w:r>
          </w:p>
        </w:tc>
      </w:tr>
      <w:tr w14:paraId="701ACA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1133" w:type="dxa"/>
            <w:vMerge w:val="continue"/>
            <w:tcBorders>
              <w:top w:val="nil"/>
              <w:bottom w:val="nil"/>
            </w:tcBorders>
            <w:vAlign w:val="top"/>
          </w:tcPr>
          <w:p w14:paraId="3CF03D6B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4623C098">
            <w:pPr>
              <w:spacing w:line="365" w:lineRule="auto"/>
              <w:rPr>
                <w:rFonts w:ascii="Arial"/>
                <w:sz w:val="21"/>
              </w:rPr>
            </w:pPr>
          </w:p>
          <w:p w14:paraId="5157CA32">
            <w:pPr>
              <w:spacing w:before="57" w:line="195" w:lineRule="auto"/>
              <w:ind w:left="3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355" w:type="dxa"/>
            <w:vAlign w:val="top"/>
          </w:tcPr>
          <w:p w14:paraId="3D50C47A">
            <w:pPr>
              <w:spacing w:before="271" w:line="192" w:lineRule="auto"/>
              <w:ind w:left="1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ITU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-R</w:t>
            </w:r>
          </w:p>
          <w:p w14:paraId="15F4F476">
            <w:pPr>
              <w:spacing w:before="125" w:line="195" w:lineRule="auto"/>
              <w:ind w:left="10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RS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.1449</w:t>
            </w:r>
          </w:p>
        </w:tc>
        <w:tc>
          <w:tcPr>
            <w:tcW w:w="4849" w:type="dxa"/>
            <w:vAlign w:val="top"/>
          </w:tcPr>
          <w:p w14:paraId="5F5F02EE">
            <w:pPr>
              <w:pStyle w:val="6"/>
              <w:spacing w:before="78" w:line="276" w:lineRule="auto"/>
              <w:ind w:left="113" w:right="102" w:firstLine="16"/>
              <w:jc w:val="both"/>
            </w:pPr>
            <w:r>
              <w:rPr>
                <w:rFonts w:ascii="Times New Roman" w:hAnsi="Times New Roman" w:eastAsia="Times New Roman" w:cs="Times New Roman"/>
                <w:spacing w:val="3"/>
              </w:rPr>
              <w:t xml:space="preserve">18.6-18.8 </w:t>
            </w:r>
            <w:r>
              <w:rPr>
                <w:rFonts w:ascii="Times New Roman" w:hAnsi="Times New Roman" w:eastAsia="Times New Roman" w:cs="Times New Roman"/>
              </w:rPr>
              <w:t>GHz</w:t>
            </w:r>
            <w:r>
              <w:rPr>
                <w:rFonts w:ascii="Times New Roman" w:hAnsi="Times New Roman" w:eastAsia="Times New Roman" w:cs="Times New Roman"/>
                <w:spacing w:val="36"/>
                <w:w w:val="101"/>
              </w:rPr>
              <w:t xml:space="preserve"> </w:t>
            </w:r>
            <w:r>
              <w:rPr>
                <w:spacing w:val="3"/>
              </w:rPr>
              <w:t>频段卫星固定业务（</w:t>
            </w:r>
            <w:r>
              <w:rPr>
                <w:spacing w:val="-48"/>
              </w:rPr>
              <w:t xml:space="preserve"> </w:t>
            </w:r>
            <w:r>
              <w:rPr>
                <w:spacing w:val="3"/>
              </w:rPr>
              <w:t>空对地）与地球</w:t>
            </w:r>
            <w:r>
              <w:t xml:space="preserve"> </w:t>
            </w:r>
            <w:r>
              <w:rPr>
                <w:spacing w:val="10"/>
              </w:rPr>
              <w:t>探测卫星（无源）和空间研究（无源）业务之间共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享的可行性</w:t>
            </w:r>
          </w:p>
        </w:tc>
        <w:tc>
          <w:tcPr>
            <w:tcW w:w="5906" w:type="dxa"/>
            <w:vAlign w:val="top"/>
          </w:tcPr>
          <w:p w14:paraId="76BED1E2">
            <w:pPr>
              <w:pStyle w:val="6"/>
              <w:spacing w:before="234" w:line="271" w:lineRule="auto"/>
              <w:ind w:left="125" w:right="102" w:hanging="8"/>
            </w:pPr>
            <w:r>
              <w:rPr>
                <w:spacing w:val="13"/>
              </w:rPr>
              <w:t>在卫星固定业务中运行的对地静止轨道卫星在</w:t>
            </w:r>
            <w:r>
              <w:rPr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18.6-18.8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GHz </w:t>
            </w:r>
            <w:r>
              <w:rPr>
                <w:spacing w:val="8"/>
              </w:rPr>
              <w:t>频段对卫星地球探测业务的潜在干扰评估。</w:t>
            </w:r>
          </w:p>
        </w:tc>
      </w:tr>
      <w:tr w14:paraId="6F0A28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133" w:type="dxa"/>
            <w:vMerge w:val="continue"/>
            <w:tcBorders>
              <w:top w:val="nil"/>
              <w:bottom w:val="nil"/>
            </w:tcBorders>
            <w:vAlign w:val="top"/>
          </w:tcPr>
          <w:p w14:paraId="000C896E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4FC8C1CF">
            <w:pPr>
              <w:spacing w:before="272" w:line="192" w:lineRule="auto"/>
              <w:ind w:left="3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355" w:type="dxa"/>
            <w:vAlign w:val="top"/>
          </w:tcPr>
          <w:p w14:paraId="15AF4AAE">
            <w:pPr>
              <w:spacing w:before="116" w:line="192" w:lineRule="auto"/>
              <w:ind w:left="1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ITU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-R</w:t>
            </w:r>
          </w:p>
          <w:p w14:paraId="105BA89C">
            <w:pPr>
              <w:spacing w:before="125" w:line="195" w:lineRule="auto"/>
              <w:ind w:left="10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RS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.1628</w:t>
            </w:r>
          </w:p>
        </w:tc>
        <w:tc>
          <w:tcPr>
            <w:tcW w:w="4849" w:type="dxa"/>
            <w:vAlign w:val="top"/>
          </w:tcPr>
          <w:p w14:paraId="64BC4355">
            <w:pPr>
              <w:pStyle w:val="6"/>
              <w:spacing w:before="77" w:line="263" w:lineRule="auto"/>
              <w:ind w:left="113" w:right="104" w:firstLine="5"/>
            </w:pPr>
            <w:r>
              <w:rPr>
                <w:spacing w:val="9"/>
              </w:rPr>
              <w:t>卫星地球探测（有源）业务</w:t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spacing w:val="9"/>
              </w:rPr>
              <w:t>空间研究</w:t>
            </w:r>
            <w:r>
              <w:rPr>
                <w:rFonts w:ascii="Times New Roman" w:hAnsi="Times New Roman" w:eastAsia="Times New Roman" w:cs="Times New Roman"/>
                <w:spacing w:val="9"/>
              </w:rPr>
              <w:t>(</w:t>
            </w:r>
            <w:r>
              <w:rPr>
                <w:spacing w:val="9"/>
              </w:rPr>
              <w:t>有源</w:t>
            </w:r>
            <w:r>
              <w:rPr>
                <w:rFonts w:ascii="Times New Roman" w:hAnsi="Times New Roman" w:eastAsia="Times New Roman" w:cs="Times New Roman"/>
                <w:spacing w:val="9"/>
              </w:rPr>
              <w:t>)</w:t>
            </w:r>
            <w:r>
              <w:rPr>
                <w:spacing w:val="9"/>
              </w:rPr>
              <w:t>业务与</w:t>
            </w:r>
            <w:r>
              <w:rPr>
                <w:spacing w:val="15"/>
              </w:rPr>
              <w:t xml:space="preserve"> </w:t>
            </w:r>
            <w:r>
              <w:rPr>
                <w:spacing w:val="6"/>
              </w:rPr>
              <w:t>其他业务系统共享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35.5-36 </w:t>
            </w:r>
            <w:r>
              <w:rPr>
                <w:rFonts w:ascii="Times New Roman" w:hAnsi="Times New Roman" w:eastAsia="Times New Roman" w:cs="Times New Roman"/>
              </w:rPr>
              <w:t>GHz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6"/>
              </w:rPr>
              <w:t>频段的可能性</w:t>
            </w:r>
          </w:p>
        </w:tc>
        <w:tc>
          <w:tcPr>
            <w:tcW w:w="5906" w:type="dxa"/>
            <w:vAlign w:val="top"/>
          </w:tcPr>
          <w:p w14:paraId="1D4521F3">
            <w:pPr>
              <w:pStyle w:val="6"/>
              <w:spacing w:before="78" w:line="263" w:lineRule="auto"/>
              <w:ind w:left="126" w:right="106" w:hanging="9"/>
            </w:pPr>
            <w:r>
              <w:rPr>
                <w:spacing w:val="8"/>
              </w:rPr>
              <w:t>适用于卫星地球探测（有源）业务和空间研究</w:t>
            </w:r>
            <w:r>
              <w:rPr>
                <w:rFonts w:ascii="Times New Roman" w:hAnsi="Times New Roman" w:eastAsia="Times New Roman" w:cs="Times New Roman"/>
                <w:spacing w:val="8"/>
              </w:rPr>
              <w:t>(</w:t>
            </w:r>
            <w:r>
              <w:rPr>
                <w:spacing w:val="8"/>
              </w:rPr>
              <w:t xml:space="preserve">有源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)</w:t>
            </w:r>
            <w:r>
              <w:rPr>
                <w:spacing w:val="8"/>
              </w:rPr>
              <w:t>业务对无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线电测定业务系统和固定业务的保护标准。</w:t>
            </w:r>
          </w:p>
        </w:tc>
      </w:tr>
      <w:tr w14:paraId="526EA9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133" w:type="dxa"/>
            <w:vMerge w:val="continue"/>
            <w:tcBorders>
              <w:top w:val="nil"/>
              <w:bottom w:val="nil"/>
            </w:tcBorders>
            <w:vAlign w:val="top"/>
          </w:tcPr>
          <w:p w14:paraId="7CFAD834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7D0039AA">
            <w:pPr>
              <w:spacing w:before="258" w:line="195" w:lineRule="auto"/>
              <w:ind w:left="3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355" w:type="dxa"/>
            <w:vAlign w:val="top"/>
          </w:tcPr>
          <w:p w14:paraId="674AD08D">
            <w:pPr>
              <w:spacing w:before="105" w:line="192" w:lineRule="auto"/>
              <w:ind w:left="1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ITU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-R</w:t>
            </w:r>
          </w:p>
          <w:p w14:paraId="0C1840E3">
            <w:pPr>
              <w:spacing w:before="125" w:line="195" w:lineRule="auto"/>
              <w:ind w:left="10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RS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.2017</w:t>
            </w:r>
          </w:p>
        </w:tc>
        <w:tc>
          <w:tcPr>
            <w:tcW w:w="4849" w:type="dxa"/>
            <w:vAlign w:val="top"/>
          </w:tcPr>
          <w:p w14:paraId="213494C4">
            <w:pPr>
              <w:pStyle w:val="6"/>
              <w:spacing w:before="223" w:line="223" w:lineRule="auto"/>
              <w:ind w:left="118"/>
            </w:pPr>
            <w:r>
              <w:rPr>
                <w:spacing w:val="8"/>
              </w:rPr>
              <w:t>卫星无源遥感性能和干扰标准</w:t>
            </w:r>
          </w:p>
        </w:tc>
        <w:tc>
          <w:tcPr>
            <w:tcW w:w="5906" w:type="dxa"/>
            <w:vAlign w:val="top"/>
          </w:tcPr>
          <w:p w14:paraId="05FB1206">
            <w:pPr>
              <w:pStyle w:val="6"/>
              <w:spacing w:before="223" w:line="223" w:lineRule="auto"/>
              <w:ind w:left="110"/>
            </w:pPr>
            <w:r>
              <w:rPr>
                <w:spacing w:val="9"/>
              </w:rPr>
              <w:t>针对微波无源传感器的卫星无源遥感性能和干扰标准。</w:t>
            </w:r>
          </w:p>
        </w:tc>
      </w:tr>
      <w:tr w14:paraId="3571EA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133" w:type="dxa"/>
            <w:vMerge w:val="continue"/>
            <w:tcBorders>
              <w:top w:val="nil"/>
              <w:bottom w:val="nil"/>
            </w:tcBorders>
            <w:vAlign w:val="top"/>
          </w:tcPr>
          <w:p w14:paraId="3493B65E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0A8070DB">
            <w:pPr>
              <w:spacing w:before="269" w:line="195" w:lineRule="auto"/>
              <w:ind w:left="3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355" w:type="dxa"/>
            <w:vAlign w:val="top"/>
          </w:tcPr>
          <w:p w14:paraId="4317C00E">
            <w:pPr>
              <w:spacing w:before="116" w:line="192" w:lineRule="auto"/>
              <w:ind w:left="1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ITU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-R</w:t>
            </w:r>
          </w:p>
          <w:p w14:paraId="71BE5E2D">
            <w:pPr>
              <w:spacing w:before="125" w:line="195" w:lineRule="auto"/>
              <w:ind w:left="10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RS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.2105</w:t>
            </w:r>
          </w:p>
        </w:tc>
        <w:tc>
          <w:tcPr>
            <w:tcW w:w="4849" w:type="dxa"/>
            <w:vAlign w:val="top"/>
          </w:tcPr>
          <w:p w14:paraId="01BA541D">
            <w:pPr>
              <w:pStyle w:val="6"/>
              <w:spacing w:before="77" w:line="271" w:lineRule="auto"/>
              <w:ind w:left="112" w:right="102" w:hanging="2"/>
            </w:pPr>
            <w:r>
              <w:rPr>
                <w:spacing w:val="10"/>
              </w:rPr>
              <w:t>使用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432 </w:t>
            </w:r>
            <w:r>
              <w:rPr>
                <w:rFonts w:ascii="Times New Roman" w:hAnsi="Times New Roman" w:eastAsia="Times New Roman" w:cs="Times New Roman"/>
              </w:rPr>
              <w:t>MHz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10"/>
              </w:rPr>
              <w:t>与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238 </w:t>
            </w:r>
            <w:r>
              <w:rPr>
                <w:rFonts w:ascii="Times New Roman" w:hAnsi="Times New Roman" w:eastAsia="Times New Roman" w:cs="Times New Roman"/>
              </w:rPr>
              <w:t>GHz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10"/>
              </w:rPr>
              <w:t>之间分配频段的卫星地球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探测业务（有源）系统的典型技术和操作特性</w:t>
            </w:r>
          </w:p>
        </w:tc>
        <w:tc>
          <w:tcPr>
            <w:tcW w:w="5906" w:type="dxa"/>
            <w:vAlign w:val="top"/>
          </w:tcPr>
          <w:p w14:paraId="0840325A">
            <w:pPr>
              <w:pStyle w:val="6"/>
              <w:spacing w:before="77" w:line="271" w:lineRule="auto"/>
              <w:ind w:left="116" w:right="101"/>
            </w:pPr>
            <w:r>
              <w:rPr>
                <w:spacing w:val="5"/>
              </w:rPr>
              <w:t>适用于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432 </w:t>
            </w:r>
            <w:r>
              <w:rPr>
                <w:rFonts w:ascii="Times New Roman" w:hAnsi="Times New Roman" w:eastAsia="Times New Roman" w:cs="Times New Roman"/>
              </w:rPr>
              <w:t>MHz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5"/>
              </w:rPr>
              <w:t>与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238 </w:t>
            </w:r>
            <w:r>
              <w:rPr>
                <w:rFonts w:ascii="Times New Roman" w:hAnsi="Times New Roman" w:eastAsia="Times New Roman" w:cs="Times New Roman"/>
              </w:rPr>
              <w:t>GHz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5"/>
              </w:rPr>
              <w:t>之间卫星地球探测业务（有源）划</w:t>
            </w:r>
            <w:r>
              <w:t xml:space="preserve"> </w:t>
            </w:r>
            <w:r>
              <w:rPr>
                <w:spacing w:val="9"/>
              </w:rPr>
              <w:t>分中的有关系统的技术和操作特性，用于共用和兼容性研究。</w:t>
            </w:r>
          </w:p>
        </w:tc>
      </w:tr>
      <w:tr w14:paraId="3E06D7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133" w:type="dxa"/>
            <w:vMerge w:val="continue"/>
            <w:tcBorders>
              <w:top w:val="nil"/>
              <w:bottom w:val="nil"/>
            </w:tcBorders>
            <w:vAlign w:val="top"/>
          </w:tcPr>
          <w:p w14:paraId="130307ED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7B2A0FE5">
            <w:pPr>
              <w:spacing w:line="355" w:lineRule="auto"/>
              <w:rPr>
                <w:rFonts w:ascii="Arial"/>
                <w:sz w:val="21"/>
              </w:rPr>
            </w:pPr>
          </w:p>
          <w:p w14:paraId="127DA1AC">
            <w:pPr>
              <w:spacing w:before="58" w:line="195" w:lineRule="auto"/>
              <w:ind w:left="26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10</w:t>
            </w:r>
          </w:p>
        </w:tc>
        <w:tc>
          <w:tcPr>
            <w:tcW w:w="1355" w:type="dxa"/>
            <w:vAlign w:val="top"/>
          </w:tcPr>
          <w:p w14:paraId="30476C3C">
            <w:pPr>
              <w:spacing w:before="262" w:line="321" w:lineRule="auto"/>
              <w:ind w:left="116" w:right="611" w:hanging="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ITU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-R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SA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.514</w:t>
            </w:r>
          </w:p>
        </w:tc>
        <w:tc>
          <w:tcPr>
            <w:tcW w:w="4849" w:type="dxa"/>
            <w:vAlign w:val="top"/>
          </w:tcPr>
          <w:p w14:paraId="3B0E17EB">
            <w:pPr>
              <w:pStyle w:val="6"/>
              <w:spacing w:before="223" w:line="273" w:lineRule="auto"/>
              <w:ind w:left="115" w:right="104" w:hanging="2"/>
            </w:pPr>
            <w:r>
              <w:rPr>
                <w:spacing w:val="10"/>
              </w:rPr>
              <w:t>用于卫星地球探测业务和卫星气象业务的指令和数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据传输系统的干扰标准</w:t>
            </w:r>
          </w:p>
        </w:tc>
        <w:tc>
          <w:tcPr>
            <w:tcW w:w="5906" w:type="dxa"/>
            <w:vAlign w:val="top"/>
          </w:tcPr>
          <w:p w14:paraId="130DC33B">
            <w:pPr>
              <w:pStyle w:val="6"/>
              <w:spacing w:before="69" w:line="273" w:lineRule="auto"/>
              <w:ind w:left="119" w:right="109" w:hanging="1"/>
            </w:pPr>
            <w:r>
              <w:rPr>
                <w:spacing w:val="10"/>
              </w:rPr>
              <w:t>对于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GHz</w:t>
            </w:r>
            <w:r>
              <w:rPr>
                <w:rFonts w:ascii="Times New Roman" w:hAnsi="Times New Roman" w:eastAsia="Times New Roman" w:cs="Times New Roman"/>
                <w:spacing w:val="45"/>
                <w:w w:val="101"/>
              </w:rPr>
              <w:t xml:space="preserve"> </w:t>
            </w:r>
            <w:r>
              <w:rPr>
                <w:spacing w:val="10"/>
              </w:rPr>
              <w:t>以下频段，非对地静止轨道卫星地球探测业务、</w:t>
            </w:r>
            <w:r>
              <w:t xml:space="preserve"> </w:t>
            </w:r>
            <w:r>
              <w:rPr>
                <w:spacing w:val="10"/>
              </w:rPr>
              <w:t>卫星气象业务间运行的指令和数据传输系统的上行遥令链路的</w:t>
            </w:r>
            <w:r>
              <w:t xml:space="preserve"> </w:t>
            </w:r>
            <w:r>
              <w:rPr>
                <w:spacing w:val="6"/>
              </w:rPr>
              <w:t>干扰保护标准。</w:t>
            </w:r>
          </w:p>
        </w:tc>
      </w:tr>
      <w:tr w14:paraId="5A8985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133" w:type="dxa"/>
            <w:vMerge w:val="continue"/>
            <w:tcBorders>
              <w:top w:val="nil"/>
              <w:bottom w:val="nil"/>
            </w:tcBorders>
            <w:vAlign w:val="top"/>
          </w:tcPr>
          <w:p w14:paraId="3B0AEDE0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4D2E913E">
            <w:pPr>
              <w:spacing w:before="278" w:line="195" w:lineRule="auto"/>
              <w:ind w:left="27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</w:rPr>
              <w:t>11</w:t>
            </w:r>
          </w:p>
        </w:tc>
        <w:tc>
          <w:tcPr>
            <w:tcW w:w="1355" w:type="dxa"/>
            <w:vAlign w:val="top"/>
          </w:tcPr>
          <w:p w14:paraId="0912052C">
            <w:pPr>
              <w:spacing w:before="125" w:line="192" w:lineRule="auto"/>
              <w:ind w:left="1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ITU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-R</w:t>
            </w:r>
          </w:p>
          <w:p w14:paraId="02A30EBF">
            <w:pPr>
              <w:spacing w:before="125" w:line="195" w:lineRule="auto"/>
              <w:ind w:left="1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SA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.1022</w:t>
            </w:r>
          </w:p>
        </w:tc>
        <w:tc>
          <w:tcPr>
            <w:tcW w:w="4849" w:type="dxa"/>
            <w:vAlign w:val="top"/>
          </w:tcPr>
          <w:p w14:paraId="300A50AC">
            <w:pPr>
              <w:pStyle w:val="6"/>
              <w:spacing w:before="87" w:line="274" w:lineRule="auto"/>
              <w:ind w:left="130" w:right="104" w:hanging="12"/>
            </w:pPr>
            <w:r>
              <w:rPr>
                <w:spacing w:val="10"/>
              </w:rPr>
              <w:t>卫星地球探测业务和卫星气象业务系统间干扰标准</w:t>
            </w:r>
            <w:r>
              <w:t xml:space="preserve"> </w:t>
            </w:r>
            <w:r>
              <w:rPr>
                <w:spacing w:val="4"/>
              </w:rPr>
              <w:t>的确定方法</w:t>
            </w:r>
          </w:p>
        </w:tc>
        <w:tc>
          <w:tcPr>
            <w:tcW w:w="5906" w:type="dxa"/>
            <w:vAlign w:val="top"/>
          </w:tcPr>
          <w:p w14:paraId="7FF5C623">
            <w:pPr>
              <w:pStyle w:val="6"/>
              <w:spacing w:before="87" w:line="275" w:lineRule="auto"/>
              <w:ind w:left="121" w:right="108" w:hanging="4"/>
            </w:pPr>
            <w:r>
              <w:rPr>
                <w:spacing w:val="10"/>
              </w:rPr>
              <w:t>适用于卫星地球探测业务和卫星气象业务系统间干扰的确定方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法。</w:t>
            </w:r>
          </w:p>
        </w:tc>
      </w:tr>
      <w:tr w14:paraId="3BE79E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133" w:type="dxa"/>
            <w:vMerge w:val="continue"/>
            <w:tcBorders>
              <w:top w:val="nil"/>
            </w:tcBorders>
            <w:vAlign w:val="top"/>
          </w:tcPr>
          <w:p w14:paraId="55CC2584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5915BCD9">
            <w:pPr>
              <w:spacing w:before="262" w:line="195" w:lineRule="auto"/>
              <w:ind w:left="26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12</w:t>
            </w:r>
          </w:p>
        </w:tc>
        <w:tc>
          <w:tcPr>
            <w:tcW w:w="1355" w:type="dxa"/>
            <w:vAlign w:val="top"/>
          </w:tcPr>
          <w:p w14:paraId="5AED0EE4">
            <w:pPr>
              <w:spacing w:before="109" w:line="192" w:lineRule="auto"/>
              <w:ind w:left="1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ITU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-R</w:t>
            </w:r>
          </w:p>
          <w:p w14:paraId="7415DE33">
            <w:pPr>
              <w:spacing w:before="125" w:line="195" w:lineRule="auto"/>
              <w:ind w:left="1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SA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.1023</w:t>
            </w:r>
          </w:p>
        </w:tc>
        <w:tc>
          <w:tcPr>
            <w:tcW w:w="4849" w:type="dxa"/>
            <w:vAlign w:val="top"/>
          </w:tcPr>
          <w:p w14:paraId="2EE12DF4">
            <w:pPr>
              <w:pStyle w:val="6"/>
              <w:spacing w:before="70" w:line="267" w:lineRule="auto"/>
              <w:ind w:left="113" w:right="104" w:firstLine="5"/>
            </w:pPr>
            <w:r>
              <w:rPr>
                <w:spacing w:val="10"/>
              </w:rPr>
              <w:t>卫星地球探测业务和卫星气象业务系统间共享和协</w:t>
            </w:r>
            <w:r>
              <w:t xml:space="preserve"> </w:t>
            </w:r>
            <w:r>
              <w:rPr>
                <w:spacing w:val="8"/>
              </w:rPr>
              <w:t>调标准的确定方法</w:t>
            </w:r>
          </w:p>
        </w:tc>
        <w:tc>
          <w:tcPr>
            <w:tcW w:w="5906" w:type="dxa"/>
            <w:vAlign w:val="top"/>
          </w:tcPr>
          <w:p w14:paraId="13B64FFC">
            <w:pPr>
              <w:pStyle w:val="6"/>
              <w:spacing w:before="70" w:line="267" w:lineRule="auto"/>
              <w:ind w:left="118" w:right="109" w:hanging="1"/>
            </w:pPr>
            <w:r>
              <w:rPr>
                <w:spacing w:val="10"/>
              </w:rPr>
              <w:t>适用于卫星地球探测业务和卫星气象业务系统间共享和协调标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准的确定方法。</w:t>
            </w:r>
          </w:p>
        </w:tc>
      </w:tr>
    </w:tbl>
    <w:p w14:paraId="36FA02E1">
      <w:pPr>
        <w:rPr>
          <w:rFonts w:ascii="Arial"/>
          <w:sz w:val="21"/>
        </w:rPr>
      </w:pPr>
    </w:p>
    <w:p w14:paraId="5BB23A49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6839" w:h="11906"/>
          <w:pgMar w:top="1012" w:right="1440" w:bottom="1200" w:left="1440" w:header="0" w:footer="1013" w:gutter="0"/>
          <w:cols w:space="720" w:num="1"/>
        </w:sectPr>
      </w:pPr>
    </w:p>
    <w:p w14:paraId="378BB560">
      <w:pPr>
        <w:spacing w:before="103"/>
      </w:pPr>
    </w:p>
    <w:p w14:paraId="196C376B">
      <w:pPr>
        <w:spacing w:before="103"/>
      </w:pPr>
    </w:p>
    <w:tbl>
      <w:tblPr>
        <w:tblStyle w:val="5"/>
        <w:tblW w:w="139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709"/>
        <w:gridCol w:w="1355"/>
        <w:gridCol w:w="4849"/>
        <w:gridCol w:w="5906"/>
      </w:tblGrid>
      <w:tr w14:paraId="3B05AA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133" w:type="dxa"/>
            <w:vAlign w:val="top"/>
          </w:tcPr>
          <w:p w14:paraId="0281BCB8">
            <w:pPr>
              <w:pStyle w:val="6"/>
              <w:spacing w:before="89" w:line="224" w:lineRule="auto"/>
              <w:ind w:left="160"/>
            </w:pPr>
            <w:r>
              <w:rPr>
                <w:b/>
                <w:bCs/>
                <w:spacing w:val="4"/>
              </w:rPr>
              <w:t>业务名称</w:t>
            </w:r>
          </w:p>
        </w:tc>
        <w:tc>
          <w:tcPr>
            <w:tcW w:w="709" w:type="dxa"/>
            <w:vAlign w:val="top"/>
          </w:tcPr>
          <w:p w14:paraId="3E85404A">
            <w:pPr>
              <w:pStyle w:val="6"/>
              <w:spacing w:before="89" w:line="225" w:lineRule="auto"/>
              <w:ind w:left="145"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55" w:type="dxa"/>
            <w:vAlign w:val="top"/>
          </w:tcPr>
          <w:p w14:paraId="44CAB25A">
            <w:pPr>
              <w:pStyle w:val="6"/>
              <w:spacing w:before="88" w:line="227" w:lineRule="auto"/>
              <w:ind w:left="156"/>
            </w:pPr>
            <w:r>
              <w:rPr>
                <w:b/>
                <w:bCs/>
                <w:spacing w:val="6"/>
              </w:rPr>
              <w:t>建议书编号</w:t>
            </w:r>
          </w:p>
        </w:tc>
        <w:tc>
          <w:tcPr>
            <w:tcW w:w="4849" w:type="dxa"/>
            <w:vAlign w:val="top"/>
          </w:tcPr>
          <w:p w14:paraId="27CF003F">
            <w:pPr>
              <w:pStyle w:val="6"/>
              <w:spacing w:before="89" w:line="225" w:lineRule="auto"/>
              <w:ind w:left="2218"/>
            </w:pPr>
            <w:r>
              <w:rPr>
                <w:b/>
                <w:bCs/>
                <w:spacing w:val="4"/>
              </w:rPr>
              <w:t>标题</w:t>
            </w:r>
          </w:p>
        </w:tc>
        <w:tc>
          <w:tcPr>
            <w:tcW w:w="5906" w:type="dxa"/>
            <w:vAlign w:val="top"/>
          </w:tcPr>
          <w:p w14:paraId="2A19BA5C">
            <w:pPr>
              <w:pStyle w:val="6"/>
              <w:spacing w:before="89" w:line="225" w:lineRule="auto"/>
              <w:ind w:left="2547"/>
            </w:pPr>
            <w:r>
              <w:rPr>
                <w:b/>
                <w:bCs/>
                <w:spacing w:val="4"/>
              </w:rPr>
              <w:t>主要内容</w:t>
            </w:r>
          </w:p>
        </w:tc>
      </w:tr>
      <w:tr w14:paraId="168BB7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12" w:hRule="atLeast"/>
        </w:trPr>
        <w:tc>
          <w:tcPr>
            <w:tcW w:w="1133" w:type="dxa"/>
            <w:vMerge w:val="restart"/>
            <w:tcBorders>
              <w:bottom w:val="nil"/>
            </w:tcBorders>
            <w:vAlign w:val="top"/>
          </w:tcPr>
          <w:p w14:paraId="6BC133B2">
            <w:pPr>
              <w:spacing w:line="245" w:lineRule="auto"/>
              <w:rPr>
                <w:rFonts w:ascii="Arial"/>
                <w:sz w:val="21"/>
              </w:rPr>
            </w:pPr>
          </w:p>
          <w:p w14:paraId="15EDA642">
            <w:pPr>
              <w:spacing w:line="245" w:lineRule="auto"/>
              <w:rPr>
                <w:rFonts w:ascii="Arial"/>
                <w:sz w:val="21"/>
              </w:rPr>
            </w:pPr>
          </w:p>
          <w:p w14:paraId="6DC88654">
            <w:pPr>
              <w:spacing w:line="245" w:lineRule="auto"/>
              <w:rPr>
                <w:rFonts w:ascii="Arial"/>
                <w:sz w:val="21"/>
              </w:rPr>
            </w:pPr>
          </w:p>
          <w:p w14:paraId="59AAF4FC">
            <w:pPr>
              <w:spacing w:line="245" w:lineRule="auto"/>
              <w:rPr>
                <w:rFonts w:ascii="Arial"/>
                <w:sz w:val="21"/>
              </w:rPr>
            </w:pPr>
          </w:p>
          <w:p w14:paraId="4ABBC3B7">
            <w:pPr>
              <w:spacing w:line="245" w:lineRule="auto"/>
              <w:rPr>
                <w:rFonts w:ascii="Arial"/>
                <w:sz w:val="21"/>
              </w:rPr>
            </w:pPr>
          </w:p>
          <w:p w14:paraId="3368EB2B">
            <w:pPr>
              <w:spacing w:line="245" w:lineRule="auto"/>
              <w:rPr>
                <w:rFonts w:ascii="Arial"/>
                <w:sz w:val="21"/>
              </w:rPr>
            </w:pPr>
          </w:p>
          <w:p w14:paraId="73932AFE">
            <w:pPr>
              <w:spacing w:line="245" w:lineRule="auto"/>
              <w:rPr>
                <w:rFonts w:ascii="Arial"/>
                <w:sz w:val="21"/>
              </w:rPr>
            </w:pPr>
          </w:p>
          <w:p w14:paraId="03F02348">
            <w:pPr>
              <w:spacing w:line="245" w:lineRule="auto"/>
              <w:rPr>
                <w:rFonts w:ascii="Arial"/>
                <w:sz w:val="21"/>
              </w:rPr>
            </w:pPr>
          </w:p>
          <w:p w14:paraId="1E25569B">
            <w:pPr>
              <w:spacing w:line="245" w:lineRule="auto"/>
              <w:rPr>
                <w:rFonts w:ascii="Arial"/>
                <w:sz w:val="21"/>
              </w:rPr>
            </w:pPr>
          </w:p>
          <w:p w14:paraId="23250C46">
            <w:pPr>
              <w:spacing w:line="245" w:lineRule="auto"/>
              <w:rPr>
                <w:rFonts w:ascii="Arial"/>
                <w:sz w:val="21"/>
              </w:rPr>
            </w:pPr>
          </w:p>
          <w:p w14:paraId="3A661974">
            <w:pPr>
              <w:spacing w:line="245" w:lineRule="auto"/>
              <w:rPr>
                <w:rFonts w:ascii="Arial"/>
                <w:sz w:val="21"/>
              </w:rPr>
            </w:pPr>
          </w:p>
          <w:p w14:paraId="3CFC8BF7">
            <w:pPr>
              <w:spacing w:line="245" w:lineRule="auto"/>
              <w:rPr>
                <w:rFonts w:ascii="Arial"/>
                <w:sz w:val="21"/>
              </w:rPr>
            </w:pPr>
          </w:p>
          <w:p w14:paraId="50D12590">
            <w:pPr>
              <w:spacing w:line="245" w:lineRule="auto"/>
              <w:rPr>
                <w:rFonts w:ascii="Arial"/>
                <w:sz w:val="21"/>
              </w:rPr>
            </w:pPr>
          </w:p>
          <w:p w14:paraId="2B4FA9B8">
            <w:pPr>
              <w:spacing w:line="245" w:lineRule="auto"/>
              <w:rPr>
                <w:rFonts w:ascii="Arial"/>
                <w:sz w:val="21"/>
              </w:rPr>
            </w:pPr>
          </w:p>
          <w:p w14:paraId="05437C95">
            <w:pPr>
              <w:spacing w:line="245" w:lineRule="auto"/>
              <w:rPr>
                <w:rFonts w:ascii="Arial"/>
                <w:sz w:val="21"/>
              </w:rPr>
            </w:pPr>
          </w:p>
          <w:p w14:paraId="2A4F30B6">
            <w:pPr>
              <w:pStyle w:val="6"/>
              <w:spacing w:before="65" w:line="273" w:lineRule="auto"/>
              <w:ind w:left="151" w:right="141" w:firstLine="5"/>
            </w:pPr>
            <w:r>
              <w:rPr>
                <w:b/>
                <w:bCs/>
                <w:spacing w:val="5"/>
              </w:rPr>
              <w:t>卫星地球</w:t>
            </w:r>
            <w:r>
              <w:t xml:space="preserve"> </w:t>
            </w:r>
            <w:r>
              <w:rPr>
                <w:b/>
                <w:bCs/>
                <w:spacing w:val="6"/>
              </w:rPr>
              <w:t>探测业务</w:t>
            </w:r>
          </w:p>
        </w:tc>
        <w:tc>
          <w:tcPr>
            <w:tcW w:w="709" w:type="dxa"/>
            <w:vAlign w:val="top"/>
          </w:tcPr>
          <w:p w14:paraId="094C4D7B">
            <w:pPr>
              <w:spacing w:before="284" w:line="195" w:lineRule="auto"/>
              <w:ind w:left="26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13</w:t>
            </w:r>
          </w:p>
        </w:tc>
        <w:tc>
          <w:tcPr>
            <w:tcW w:w="1355" w:type="dxa"/>
            <w:vAlign w:val="top"/>
          </w:tcPr>
          <w:p w14:paraId="3A71168F">
            <w:pPr>
              <w:spacing w:before="131" w:line="192" w:lineRule="auto"/>
              <w:ind w:left="1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ITU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-R</w:t>
            </w:r>
          </w:p>
          <w:p w14:paraId="4556BC66">
            <w:pPr>
              <w:spacing w:before="125" w:line="195" w:lineRule="auto"/>
              <w:ind w:left="1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SA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.1026</w:t>
            </w:r>
          </w:p>
        </w:tc>
        <w:tc>
          <w:tcPr>
            <w:tcW w:w="4849" w:type="dxa"/>
            <w:vAlign w:val="top"/>
          </w:tcPr>
          <w:p w14:paraId="5FAD23AE">
            <w:pPr>
              <w:pStyle w:val="6"/>
              <w:spacing w:before="94" w:line="272" w:lineRule="auto"/>
              <w:ind w:left="117" w:right="104" w:firstLine="1"/>
            </w:pPr>
            <w:r>
              <w:rPr>
                <w:spacing w:val="10"/>
              </w:rPr>
              <w:t>卫星地球探测和卫星气象业务中使用低轨卫星的空</w:t>
            </w:r>
            <w:r>
              <w:t xml:space="preserve"> </w:t>
            </w:r>
            <w:r>
              <w:rPr>
                <w:spacing w:val="9"/>
              </w:rPr>
              <w:t>对地数据传输系统的集总干扰标准</w:t>
            </w:r>
          </w:p>
        </w:tc>
        <w:tc>
          <w:tcPr>
            <w:tcW w:w="5906" w:type="dxa"/>
            <w:vAlign w:val="top"/>
          </w:tcPr>
          <w:p w14:paraId="704693D2">
            <w:pPr>
              <w:pStyle w:val="6"/>
              <w:spacing w:before="94" w:line="272" w:lineRule="auto"/>
              <w:ind w:left="117" w:right="109" w:firstLine="3"/>
            </w:pPr>
            <w:r>
              <w:rPr>
                <w:spacing w:val="10"/>
              </w:rPr>
              <w:t>卫星地球探测和卫星气象业务均适用的近地轨道卫星空对地传</w:t>
            </w:r>
            <w:r>
              <w:t xml:space="preserve"> </w:t>
            </w:r>
            <w:r>
              <w:rPr>
                <w:spacing w:val="7"/>
              </w:rPr>
              <w:t>输的集总干扰标准。</w:t>
            </w:r>
          </w:p>
        </w:tc>
      </w:tr>
      <w:tr w14:paraId="59901E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133" w:type="dxa"/>
            <w:vMerge w:val="continue"/>
            <w:tcBorders>
              <w:top w:val="nil"/>
              <w:bottom w:val="nil"/>
            </w:tcBorders>
            <w:vAlign w:val="top"/>
          </w:tcPr>
          <w:p w14:paraId="413B0E93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60CB37D0">
            <w:pPr>
              <w:spacing w:line="250" w:lineRule="auto"/>
              <w:rPr>
                <w:rFonts w:ascii="Arial"/>
                <w:sz w:val="21"/>
              </w:rPr>
            </w:pPr>
          </w:p>
          <w:p w14:paraId="7A2F3DCC">
            <w:pPr>
              <w:spacing w:before="57" w:line="195" w:lineRule="auto"/>
              <w:ind w:left="26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14</w:t>
            </w:r>
          </w:p>
        </w:tc>
        <w:tc>
          <w:tcPr>
            <w:tcW w:w="1355" w:type="dxa"/>
            <w:vAlign w:val="top"/>
          </w:tcPr>
          <w:p w14:paraId="523EC32A">
            <w:pPr>
              <w:spacing w:before="156" w:line="192" w:lineRule="auto"/>
              <w:ind w:left="1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ITU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-R</w:t>
            </w:r>
          </w:p>
          <w:p w14:paraId="7F6DD7F3">
            <w:pPr>
              <w:spacing w:before="125" w:line="195" w:lineRule="auto"/>
              <w:ind w:left="1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SA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.1027</w:t>
            </w:r>
          </w:p>
        </w:tc>
        <w:tc>
          <w:tcPr>
            <w:tcW w:w="4849" w:type="dxa"/>
            <w:vAlign w:val="top"/>
          </w:tcPr>
          <w:p w14:paraId="186FFAAF">
            <w:pPr>
              <w:pStyle w:val="6"/>
              <w:spacing w:before="117" w:line="273" w:lineRule="auto"/>
              <w:ind w:left="116" w:right="104" w:hanging="1"/>
            </w:pPr>
            <w:r>
              <w:rPr>
                <w:spacing w:val="10"/>
              </w:rPr>
              <w:t>在近地轨道使用卫星的卫星地球探测和卫星气象业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务中空对地数据传输系统的共用标准</w:t>
            </w:r>
          </w:p>
        </w:tc>
        <w:tc>
          <w:tcPr>
            <w:tcW w:w="5906" w:type="dxa"/>
            <w:vAlign w:val="top"/>
          </w:tcPr>
          <w:p w14:paraId="771D24F4">
            <w:pPr>
              <w:pStyle w:val="6"/>
              <w:spacing w:before="117" w:line="273" w:lineRule="auto"/>
              <w:ind w:left="117" w:right="109" w:firstLine="3"/>
            </w:pPr>
            <w:r>
              <w:rPr>
                <w:spacing w:val="10"/>
              </w:rPr>
              <w:t>卫星地球探测和卫星气象业务均适用的近地轨道卫星空对地传</w:t>
            </w:r>
            <w:r>
              <w:t xml:space="preserve"> </w:t>
            </w:r>
            <w:r>
              <w:rPr>
                <w:spacing w:val="6"/>
              </w:rPr>
              <w:t>输的共用标准。</w:t>
            </w:r>
          </w:p>
        </w:tc>
      </w:tr>
      <w:tr w14:paraId="634D4D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133" w:type="dxa"/>
            <w:vMerge w:val="continue"/>
            <w:tcBorders>
              <w:top w:val="nil"/>
              <w:bottom w:val="nil"/>
            </w:tcBorders>
            <w:vAlign w:val="top"/>
          </w:tcPr>
          <w:p w14:paraId="4F62F4C9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254A565C">
            <w:pPr>
              <w:spacing w:line="274" w:lineRule="auto"/>
              <w:rPr>
                <w:rFonts w:ascii="Arial"/>
                <w:sz w:val="21"/>
              </w:rPr>
            </w:pPr>
          </w:p>
          <w:p w14:paraId="49B209CC">
            <w:pPr>
              <w:spacing w:before="57" w:line="195" w:lineRule="auto"/>
              <w:ind w:left="26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15</w:t>
            </w:r>
          </w:p>
        </w:tc>
        <w:tc>
          <w:tcPr>
            <w:tcW w:w="1355" w:type="dxa"/>
            <w:vAlign w:val="top"/>
          </w:tcPr>
          <w:p w14:paraId="71E9821D">
            <w:pPr>
              <w:spacing w:before="180" w:line="192" w:lineRule="auto"/>
              <w:ind w:left="1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ITU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-R</w:t>
            </w:r>
          </w:p>
          <w:p w14:paraId="16B69E78">
            <w:pPr>
              <w:spacing w:before="125" w:line="195" w:lineRule="auto"/>
              <w:ind w:left="1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SA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.1159</w:t>
            </w:r>
          </w:p>
        </w:tc>
        <w:tc>
          <w:tcPr>
            <w:tcW w:w="4849" w:type="dxa"/>
            <w:vAlign w:val="top"/>
          </w:tcPr>
          <w:p w14:paraId="728424EE">
            <w:pPr>
              <w:pStyle w:val="6"/>
              <w:spacing w:before="141" w:line="272" w:lineRule="auto"/>
              <w:ind w:left="130" w:right="104" w:hanging="12"/>
            </w:pPr>
            <w:r>
              <w:rPr>
                <w:spacing w:val="10"/>
              </w:rPr>
              <w:t>卫星地球探测业务和卫星气象业务中数据传输系统</w:t>
            </w:r>
            <w:r>
              <w:t xml:space="preserve"> </w:t>
            </w:r>
            <w:r>
              <w:rPr>
                <w:spacing w:val="4"/>
              </w:rPr>
              <w:t>的性能标准</w:t>
            </w:r>
          </w:p>
        </w:tc>
        <w:tc>
          <w:tcPr>
            <w:tcW w:w="5906" w:type="dxa"/>
            <w:vAlign w:val="top"/>
          </w:tcPr>
          <w:p w14:paraId="06499ED9">
            <w:pPr>
              <w:pStyle w:val="6"/>
              <w:spacing w:before="141" w:line="272" w:lineRule="auto"/>
              <w:ind w:left="119" w:right="109" w:hanging="2"/>
            </w:pPr>
            <w:r>
              <w:rPr>
                <w:spacing w:val="10"/>
              </w:rPr>
              <w:t>适用于低地球轨道或对地静止轨道中运行的卫星地球探测业务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和卫星气象业务卫星的数据传输系统的性能标准。</w:t>
            </w:r>
          </w:p>
        </w:tc>
      </w:tr>
      <w:tr w14:paraId="4B956C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133" w:type="dxa"/>
            <w:vMerge w:val="continue"/>
            <w:tcBorders>
              <w:top w:val="nil"/>
              <w:bottom w:val="nil"/>
            </w:tcBorders>
            <w:vAlign w:val="top"/>
          </w:tcPr>
          <w:p w14:paraId="49DB7704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71B5F679">
            <w:pPr>
              <w:spacing w:before="294" w:line="195" w:lineRule="auto"/>
              <w:ind w:left="26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16</w:t>
            </w:r>
          </w:p>
        </w:tc>
        <w:tc>
          <w:tcPr>
            <w:tcW w:w="1355" w:type="dxa"/>
            <w:vAlign w:val="top"/>
          </w:tcPr>
          <w:p w14:paraId="1BD93955">
            <w:pPr>
              <w:spacing w:before="141" w:line="192" w:lineRule="auto"/>
              <w:ind w:left="1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ITU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-R</w:t>
            </w:r>
          </w:p>
          <w:p w14:paraId="1A351C1E">
            <w:pPr>
              <w:spacing w:before="125" w:line="195" w:lineRule="auto"/>
              <w:ind w:left="1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SA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.1160</w:t>
            </w:r>
          </w:p>
        </w:tc>
        <w:tc>
          <w:tcPr>
            <w:tcW w:w="4849" w:type="dxa"/>
            <w:vAlign w:val="top"/>
          </w:tcPr>
          <w:p w14:paraId="384778A3">
            <w:pPr>
              <w:pStyle w:val="6"/>
              <w:spacing w:before="104" w:line="272" w:lineRule="auto"/>
              <w:ind w:left="136" w:right="104" w:hanging="26"/>
            </w:pPr>
            <w:r>
              <w:rPr>
                <w:spacing w:val="10"/>
              </w:rPr>
              <w:t>使用对地静止轨道的卫星地球探测和卫星气象业务</w:t>
            </w:r>
            <w:r>
              <w:rPr>
                <w:spacing w:val="7"/>
              </w:rPr>
              <w:t xml:space="preserve"> 中的数据传输系统的集总干扰标准</w:t>
            </w:r>
          </w:p>
        </w:tc>
        <w:tc>
          <w:tcPr>
            <w:tcW w:w="5906" w:type="dxa"/>
            <w:vAlign w:val="top"/>
          </w:tcPr>
          <w:p w14:paraId="7F525F19">
            <w:pPr>
              <w:pStyle w:val="6"/>
              <w:spacing w:before="104" w:line="272" w:lineRule="auto"/>
              <w:ind w:left="117" w:right="109"/>
            </w:pPr>
            <w:r>
              <w:rPr>
                <w:spacing w:val="10"/>
              </w:rPr>
              <w:t>适用于卫星地球探测和卫星气象业务中对地静止轨道卫星的数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据传输链路的集总干扰标准。</w:t>
            </w:r>
          </w:p>
        </w:tc>
      </w:tr>
      <w:tr w14:paraId="5FF0E9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133" w:type="dxa"/>
            <w:vMerge w:val="continue"/>
            <w:tcBorders>
              <w:top w:val="nil"/>
              <w:bottom w:val="nil"/>
            </w:tcBorders>
            <w:vAlign w:val="top"/>
          </w:tcPr>
          <w:p w14:paraId="4451935F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53BA62F2">
            <w:pPr>
              <w:spacing w:line="242" w:lineRule="auto"/>
              <w:rPr>
                <w:rFonts w:ascii="Arial"/>
                <w:sz w:val="21"/>
              </w:rPr>
            </w:pPr>
          </w:p>
          <w:p w14:paraId="0A3B5EC2">
            <w:pPr>
              <w:spacing w:before="57" w:line="195" w:lineRule="auto"/>
              <w:ind w:left="26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17</w:t>
            </w:r>
          </w:p>
        </w:tc>
        <w:tc>
          <w:tcPr>
            <w:tcW w:w="1355" w:type="dxa"/>
            <w:vAlign w:val="top"/>
          </w:tcPr>
          <w:p w14:paraId="0F95A3CE">
            <w:pPr>
              <w:spacing w:before="148" w:line="192" w:lineRule="auto"/>
              <w:ind w:left="1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ITU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-R</w:t>
            </w:r>
          </w:p>
          <w:p w14:paraId="730A7E66">
            <w:pPr>
              <w:spacing w:before="125" w:line="195" w:lineRule="auto"/>
              <w:ind w:left="1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SA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.1161</w:t>
            </w:r>
          </w:p>
        </w:tc>
        <w:tc>
          <w:tcPr>
            <w:tcW w:w="4849" w:type="dxa"/>
            <w:vAlign w:val="top"/>
          </w:tcPr>
          <w:p w14:paraId="00139E95">
            <w:pPr>
              <w:pStyle w:val="6"/>
              <w:spacing w:before="109" w:line="273" w:lineRule="auto"/>
              <w:ind w:left="121" w:right="104" w:hanging="11"/>
            </w:pPr>
            <w:r>
              <w:rPr>
                <w:spacing w:val="10"/>
              </w:rPr>
              <w:t>使用对地静止轨道的卫星地球探测业务和卫星气象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业务中的数据传输系统的共用和协调标准</w:t>
            </w:r>
          </w:p>
        </w:tc>
        <w:tc>
          <w:tcPr>
            <w:tcW w:w="5906" w:type="dxa"/>
            <w:vAlign w:val="top"/>
          </w:tcPr>
          <w:p w14:paraId="177AF446">
            <w:pPr>
              <w:pStyle w:val="6"/>
              <w:spacing w:before="110" w:line="272" w:lineRule="auto"/>
              <w:ind w:left="109" w:right="108" w:firstLine="7"/>
            </w:pPr>
            <w:r>
              <w:rPr>
                <w:spacing w:val="10"/>
              </w:rPr>
              <w:t>适用于对地静止轨道卫星地球探测和卫星气象业务空对地数据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传输单入共用标准。</w:t>
            </w:r>
          </w:p>
        </w:tc>
      </w:tr>
      <w:tr w14:paraId="3996B4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133" w:type="dxa"/>
            <w:vMerge w:val="continue"/>
            <w:tcBorders>
              <w:top w:val="nil"/>
              <w:bottom w:val="nil"/>
            </w:tcBorders>
            <w:vAlign w:val="top"/>
          </w:tcPr>
          <w:p w14:paraId="4056BA46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48B337AC">
            <w:pPr>
              <w:spacing w:before="286" w:line="195" w:lineRule="auto"/>
              <w:ind w:left="26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18</w:t>
            </w:r>
          </w:p>
        </w:tc>
        <w:tc>
          <w:tcPr>
            <w:tcW w:w="1355" w:type="dxa"/>
            <w:vAlign w:val="top"/>
          </w:tcPr>
          <w:p w14:paraId="7A51CD18">
            <w:pPr>
              <w:spacing w:before="133" w:line="192" w:lineRule="auto"/>
              <w:ind w:left="1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ITU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-R</w:t>
            </w:r>
          </w:p>
          <w:p w14:paraId="516B3388">
            <w:pPr>
              <w:spacing w:before="125" w:line="195" w:lineRule="auto"/>
              <w:ind w:left="1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SA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.1164</w:t>
            </w:r>
          </w:p>
        </w:tc>
        <w:tc>
          <w:tcPr>
            <w:tcW w:w="4849" w:type="dxa"/>
            <w:vAlign w:val="top"/>
          </w:tcPr>
          <w:p w14:paraId="34505938">
            <w:pPr>
              <w:pStyle w:val="6"/>
              <w:spacing w:before="96" w:line="272" w:lineRule="auto"/>
              <w:ind w:left="115" w:right="106" w:hanging="5"/>
            </w:pPr>
            <w:r>
              <w:rPr>
                <w:spacing w:val="10"/>
              </w:rPr>
              <w:t>使用卫星地球探测业务和卫星气象业务对地静止轨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道卫星的数据采集系统业务链路的共用和协调标准</w:t>
            </w:r>
          </w:p>
        </w:tc>
        <w:tc>
          <w:tcPr>
            <w:tcW w:w="5906" w:type="dxa"/>
            <w:vAlign w:val="top"/>
          </w:tcPr>
          <w:p w14:paraId="461DC8D5">
            <w:pPr>
              <w:pStyle w:val="6"/>
              <w:spacing w:before="95" w:line="273" w:lineRule="auto"/>
              <w:ind w:left="114" w:right="109" w:firstLine="5"/>
            </w:pPr>
            <w:r>
              <w:rPr>
                <w:spacing w:val="10"/>
              </w:rPr>
              <w:t>卫星地球探测和卫星气象业务适用的静止轨道数据采集共用协</w:t>
            </w:r>
            <w:r>
              <w:t xml:space="preserve"> </w:t>
            </w:r>
            <w:r>
              <w:rPr>
                <w:spacing w:val="5"/>
              </w:rPr>
              <w:t>调标准。</w:t>
            </w:r>
          </w:p>
        </w:tc>
      </w:tr>
      <w:tr w14:paraId="46658F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133" w:type="dxa"/>
            <w:vMerge w:val="continue"/>
            <w:tcBorders>
              <w:top w:val="nil"/>
              <w:bottom w:val="nil"/>
            </w:tcBorders>
            <w:vAlign w:val="top"/>
          </w:tcPr>
          <w:p w14:paraId="2F5D4BB6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220447A0">
            <w:pPr>
              <w:spacing w:line="402" w:lineRule="auto"/>
              <w:rPr>
                <w:rFonts w:ascii="Arial"/>
                <w:sz w:val="21"/>
              </w:rPr>
            </w:pPr>
          </w:p>
          <w:p w14:paraId="4E8738A7">
            <w:pPr>
              <w:spacing w:before="57" w:line="195" w:lineRule="auto"/>
              <w:ind w:left="26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>19</w:t>
            </w:r>
          </w:p>
        </w:tc>
        <w:tc>
          <w:tcPr>
            <w:tcW w:w="1355" w:type="dxa"/>
            <w:vAlign w:val="top"/>
          </w:tcPr>
          <w:p w14:paraId="34D7C8CD">
            <w:pPr>
              <w:spacing w:line="250" w:lineRule="auto"/>
              <w:rPr>
                <w:rFonts w:ascii="Arial"/>
                <w:sz w:val="21"/>
              </w:rPr>
            </w:pPr>
          </w:p>
          <w:p w14:paraId="5F4BF3D4">
            <w:pPr>
              <w:spacing w:before="57" w:line="192" w:lineRule="auto"/>
              <w:ind w:left="1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ITU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-R</w:t>
            </w:r>
          </w:p>
          <w:p w14:paraId="41DE5600">
            <w:pPr>
              <w:spacing w:before="125" w:line="195" w:lineRule="auto"/>
              <w:ind w:left="1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SA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.1277</w:t>
            </w:r>
          </w:p>
        </w:tc>
        <w:tc>
          <w:tcPr>
            <w:tcW w:w="4849" w:type="dxa"/>
            <w:vAlign w:val="top"/>
          </w:tcPr>
          <w:p w14:paraId="624EBD22">
            <w:pPr>
              <w:pStyle w:val="6"/>
              <w:spacing w:before="115" w:line="278" w:lineRule="auto"/>
              <w:ind w:left="115" w:right="104"/>
              <w:jc w:val="both"/>
            </w:pPr>
            <w:r>
              <w:rPr>
                <w:spacing w:val="1"/>
              </w:rPr>
              <w:t>在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</w:t>
            </w:r>
            <w:r>
              <w:rPr>
                <w:spacing w:val="1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1"/>
              </w:rPr>
              <w:t>和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38"/>
                <w:w w:val="101"/>
              </w:rPr>
              <w:t xml:space="preserve"> </w:t>
            </w:r>
            <w:r>
              <w:rPr>
                <w:spacing w:val="1"/>
              </w:rPr>
              <w:t>区的卫星地球探测业务与固定、卫星固</w:t>
            </w:r>
            <w:r>
              <w:t xml:space="preserve"> </w:t>
            </w:r>
            <w:r>
              <w:rPr>
                <w:spacing w:val="7"/>
              </w:rPr>
              <w:t>定、卫星气象和移动业务之间共享</w:t>
            </w:r>
            <w:r>
              <w:rPr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8025-8400 </w:t>
            </w:r>
            <w:r>
              <w:rPr>
                <w:rFonts w:ascii="Times New Roman" w:hAnsi="Times New Roman" w:eastAsia="Times New Roman" w:cs="Times New Roman"/>
              </w:rPr>
              <w:t xml:space="preserve">MHz  </w:t>
            </w:r>
            <w:r>
              <w:rPr>
                <w:spacing w:val="3"/>
              </w:rPr>
              <w:t>频段</w:t>
            </w:r>
          </w:p>
        </w:tc>
        <w:tc>
          <w:tcPr>
            <w:tcW w:w="5906" w:type="dxa"/>
            <w:vAlign w:val="top"/>
          </w:tcPr>
          <w:p w14:paraId="784A7C8E">
            <w:pPr>
              <w:pStyle w:val="6"/>
              <w:spacing w:before="113" w:line="278" w:lineRule="auto"/>
              <w:ind w:left="114" w:right="106" w:firstLine="2"/>
              <w:jc w:val="both"/>
            </w:pPr>
            <w:r>
              <w:rPr>
                <w:spacing w:val="7"/>
              </w:rPr>
              <w:t>适用于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8025-8400 </w:t>
            </w:r>
            <w:r>
              <w:rPr>
                <w:rFonts w:ascii="Times New Roman" w:hAnsi="Times New Roman" w:eastAsia="Times New Roman" w:cs="Times New Roman"/>
              </w:rPr>
              <w:t>MHz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7"/>
              </w:rPr>
              <w:t>频段内其他业务对卫星地球探测业务的</w:t>
            </w:r>
            <w:r>
              <w:t xml:space="preserve"> </w:t>
            </w:r>
            <w:r>
              <w:rPr>
                <w:spacing w:val="10"/>
              </w:rPr>
              <w:t>干扰，并提供了卫星地球探测业务地球站与其他业务的地面站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或地球站之间间隔距离的计算方法及相关指导。</w:t>
            </w:r>
          </w:p>
        </w:tc>
      </w:tr>
      <w:tr w14:paraId="5D13E8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133" w:type="dxa"/>
            <w:vMerge w:val="continue"/>
            <w:tcBorders>
              <w:top w:val="nil"/>
              <w:bottom w:val="nil"/>
            </w:tcBorders>
            <w:vAlign w:val="top"/>
          </w:tcPr>
          <w:p w14:paraId="16ADDD93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45A3B040">
            <w:pPr>
              <w:spacing w:before="286" w:line="195" w:lineRule="auto"/>
              <w:ind w:left="24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20</w:t>
            </w:r>
          </w:p>
        </w:tc>
        <w:tc>
          <w:tcPr>
            <w:tcW w:w="1355" w:type="dxa"/>
            <w:vAlign w:val="top"/>
          </w:tcPr>
          <w:p w14:paraId="5440BB34">
            <w:pPr>
              <w:spacing w:before="133" w:line="192" w:lineRule="auto"/>
              <w:ind w:left="1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ITU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-R</w:t>
            </w:r>
          </w:p>
          <w:p w14:paraId="666B5055">
            <w:pPr>
              <w:spacing w:before="125" w:line="195" w:lineRule="auto"/>
              <w:ind w:left="1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SA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.1810</w:t>
            </w:r>
          </w:p>
        </w:tc>
        <w:tc>
          <w:tcPr>
            <w:tcW w:w="4849" w:type="dxa"/>
            <w:vAlign w:val="top"/>
          </w:tcPr>
          <w:p w14:paraId="3FEE2720">
            <w:pPr>
              <w:pStyle w:val="6"/>
              <w:spacing w:before="94" w:line="273" w:lineRule="auto"/>
              <w:ind w:left="113" w:right="102" w:firstLine="2"/>
            </w:pPr>
            <w:r>
              <w:rPr>
                <w:spacing w:val="7"/>
              </w:rPr>
              <w:t>在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8025-8400 </w:t>
            </w:r>
            <w:r>
              <w:rPr>
                <w:rFonts w:ascii="Times New Roman" w:hAnsi="Times New Roman" w:eastAsia="Times New Roman" w:cs="Times New Roman"/>
              </w:rPr>
              <w:t>MHz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7"/>
              </w:rPr>
              <w:t>频段运行的卫星地球探测的</w:t>
            </w:r>
            <w:r>
              <w:rPr>
                <w:spacing w:val="6"/>
              </w:rPr>
              <w:t>系统</w:t>
            </w:r>
            <w:r>
              <w:t xml:space="preserve"> </w:t>
            </w:r>
            <w:r>
              <w:rPr>
                <w:spacing w:val="7"/>
              </w:rPr>
              <w:t>设计指南</w:t>
            </w:r>
          </w:p>
        </w:tc>
        <w:tc>
          <w:tcPr>
            <w:tcW w:w="5906" w:type="dxa"/>
            <w:vAlign w:val="top"/>
          </w:tcPr>
          <w:p w14:paraId="06B59230">
            <w:pPr>
              <w:pStyle w:val="6"/>
              <w:spacing w:before="95" w:line="272" w:lineRule="auto"/>
              <w:ind w:left="114" w:right="106" w:firstLine="2"/>
            </w:pPr>
            <w:r>
              <w:rPr>
                <w:spacing w:val="7"/>
              </w:rPr>
              <w:t>适用于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8025-8400 </w:t>
            </w:r>
            <w:r>
              <w:rPr>
                <w:rFonts w:ascii="Times New Roman" w:hAnsi="Times New Roman" w:eastAsia="Times New Roman" w:cs="Times New Roman"/>
              </w:rPr>
              <w:t>MHz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7"/>
              </w:rPr>
              <w:t>频段内卫星地球探测业务卫星下行数据</w:t>
            </w:r>
            <w:r>
              <w:t xml:space="preserve"> </w:t>
            </w:r>
            <w:r>
              <w:rPr>
                <w:spacing w:val="8"/>
              </w:rPr>
              <w:t>产生或受到的干扰，提供了干扰抑制方法。</w:t>
            </w:r>
          </w:p>
        </w:tc>
      </w:tr>
      <w:tr w14:paraId="6D8F69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133" w:type="dxa"/>
            <w:vMerge w:val="continue"/>
            <w:tcBorders>
              <w:top w:val="nil"/>
              <w:bottom w:val="nil"/>
            </w:tcBorders>
            <w:vAlign w:val="top"/>
          </w:tcPr>
          <w:p w14:paraId="7C5E11A2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5CC7B6A1">
            <w:pPr>
              <w:spacing w:line="375" w:lineRule="auto"/>
              <w:rPr>
                <w:rFonts w:ascii="Arial"/>
                <w:sz w:val="21"/>
              </w:rPr>
            </w:pPr>
          </w:p>
          <w:p w14:paraId="518FDB07">
            <w:pPr>
              <w:spacing w:before="57" w:line="195" w:lineRule="auto"/>
              <w:ind w:left="24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21</w:t>
            </w:r>
          </w:p>
        </w:tc>
        <w:tc>
          <w:tcPr>
            <w:tcW w:w="1355" w:type="dxa"/>
            <w:vAlign w:val="top"/>
          </w:tcPr>
          <w:p w14:paraId="4F934289">
            <w:pPr>
              <w:spacing w:before="282" w:line="192" w:lineRule="auto"/>
              <w:ind w:left="1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ITU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-R</w:t>
            </w:r>
          </w:p>
          <w:p w14:paraId="4E2EEF05">
            <w:pPr>
              <w:spacing w:before="125" w:line="195" w:lineRule="auto"/>
              <w:ind w:left="1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SA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.1862</w:t>
            </w:r>
          </w:p>
        </w:tc>
        <w:tc>
          <w:tcPr>
            <w:tcW w:w="4849" w:type="dxa"/>
            <w:vAlign w:val="top"/>
          </w:tcPr>
          <w:p w14:paraId="7ECDFCC1">
            <w:pPr>
              <w:pStyle w:val="6"/>
              <w:spacing w:before="243" w:line="273" w:lineRule="auto"/>
              <w:ind w:left="117" w:right="104" w:firstLine="1"/>
            </w:pPr>
            <w:r>
              <w:rPr>
                <w:spacing w:val="5"/>
              </w:rPr>
              <w:t>卫星地球探测业务（</w:t>
            </w:r>
            <w:r>
              <w:rPr>
                <w:spacing w:val="-46"/>
              </w:rPr>
              <w:t xml:space="preserve"> </w:t>
            </w:r>
            <w:r>
              <w:rPr>
                <w:spacing w:val="5"/>
              </w:rPr>
              <w:t>空对地）和空间研究业务（</w:t>
            </w:r>
            <w:r>
              <w:rPr>
                <w:spacing w:val="-45"/>
              </w:rPr>
              <w:t xml:space="preserve"> </w:t>
            </w:r>
            <w:r>
              <w:rPr>
                <w:spacing w:val="5"/>
              </w:rPr>
              <w:t>空</w:t>
            </w:r>
            <w:r>
              <w:t xml:space="preserve"> </w:t>
            </w:r>
            <w:r>
              <w:rPr>
                <w:spacing w:val="6"/>
              </w:rPr>
              <w:t>对地） 有效利用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25.5-27 </w:t>
            </w:r>
            <w:r>
              <w:rPr>
                <w:rFonts w:ascii="Times New Roman" w:hAnsi="Times New Roman" w:eastAsia="Times New Roman" w:cs="Times New Roman"/>
              </w:rPr>
              <w:t>GHz</w:t>
            </w:r>
            <w:r>
              <w:rPr>
                <w:rFonts w:ascii="Times New Roman" w:hAnsi="Times New Roman" w:eastAsia="Times New Roman" w:cs="Times New Roman"/>
                <w:spacing w:val="26"/>
              </w:rPr>
              <w:t xml:space="preserve"> </w:t>
            </w:r>
            <w:r>
              <w:rPr>
                <w:spacing w:val="6"/>
              </w:rPr>
              <w:t>频段导则</w:t>
            </w:r>
          </w:p>
        </w:tc>
        <w:tc>
          <w:tcPr>
            <w:tcW w:w="5906" w:type="dxa"/>
            <w:vAlign w:val="top"/>
          </w:tcPr>
          <w:p w14:paraId="5F27E3CD">
            <w:pPr>
              <w:pStyle w:val="6"/>
              <w:spacing w:before="87" w:line="278" w:lineRule="auto"/>
              <w:ind w:left="111" w:right="109" w:hanging="3"/>
              <w:jc w:val="both"/>
            </w:pPr>
            <w:r>
              <w:rPr>
                <w:spacing w:val="10"/>
              </w:rPr>
              <w:t>包含在近地和深空研究网络、卫星地球探测系统、对地静止卫</w:t>
            </w:r>
            <w:r>
              <w:rPr>
                <w:spacing w:val="12"/>
              </w:rPr>
              <w:t xml:space="preserve"> </w:t>
            </w:r>
            <w:r>
              <w:rPr>
                <w:spacing w:val="10"/>
              </w:rPr>
              <w:t>星系统和数据中继卫星网络等许多不同空间科学系统之间优化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使用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25.5-27 </w:t>
            </w:r>
            <w:r>
              <w:rPr>
                <w:rFonts w:ascii="Times New Roman" w:hAnsi="Times New Roman" w:eastAsia="Times New Roman" w:cs="Times New Roman"/>
              </w:rPr>
              <w:t>GHz</w:t>
            </w:r>
            <w:r>
              <w:rPr>
                <w:rFonts w:ascii="Times New Roman" w:hAnsi="Times New Roman" w:eastAsia="Times New Roman" w:cs="Times New Roman"/>
                <w:spacing w:val="26"/>
              </w:rPr>
              <w:t xml:space="preserve"> </w:t>
            </w:r>
            <w:r>
              <w:rPr>
                <w:spacing w:val="5"/>
              </w:rPr>
              <w:t>频段的导则。</w:t>
            </w:r>
          </w:p>
        </w:tc>
      </w:tr>
      <w:tr w14:paraId="57A36D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133" w:type="dxa"/>
            <w:vMerge w:val="continue"/>
            <w:tcBorders>
              <w:top w:val="nil"/>
            </w:tcBorders>
            <w:vAlign w:val="top"/>
          </w:tcPr>
          <w:p w14:paraId="22D9C356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0C2C67E5">
            <w:pPr>
              <w:spacing w:line="263" w:lineRule="auto"/>
              <w:rPr>
                <w:rFonts w:ascii="Arial"/>
                <w:sz w:val="21"/>
              </w:rPr>
            </w:pPr>
          </w:p>
          <w:p w14:paraId="45650844">
            <w:pPr>
              <w:spacing w:before="58" w:line="195" w:lineRule="auto"/>
              <w:ind w:left="24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22</w:t>
            </w:r>
          </w:p>
        </w:tc>
        <w:tc>
          <w:tcPr>
            <w:tcW w:w="1355" w:type="dxa"/>
            <w:vAlign w:val="top"/>
          </w:tcPr>
          <w:p w14:paraId="0E457642">
            <w:pPr>
              <w:spacing w:before="169" w:line="192" w:lineRule="auto"/>
              <w:ind w:left="1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ITU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-R</w:t>
            </w:r>
          </w:p>
          <w:p w14:paraId="7D1F63B9">
            <w:pPr>
              <w:spacing w:before="125" w:line="195" w:lineRule="auto"/>
              <w:ind w:left="1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SA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.2044</w:t>
            </w:r>
          </w:p>
        </w:tc>
        <w:tc>
          <w:tcPr>
            <w:tcW w:w="4849" w:type="dxa"/>
            <w:vAlign w:val="top"/>
          </w:tcPr>
          <w:p w14:paraId="0736AFB2">
            <w:pPr>
              <w:pStyle w:val="6"/>
              <w:spacing w:before="131" w:line="272" w:lineRule="auto"/>
              <w:ind w:left="130" w:right="102" w:hanging="22"/>
            </w:pPr>
            <w:r>
              <w:rPr>
                <w:rFonts w:ascii="Times New Roman" w:hAnsi="Times New Roman" w:eastAsia="Times New Roman" w:cs="Times New Roman"/>
                <w:spacing w:val="9"/>
              </w:rPr>
              <w:t xml:space="preserve">401-403 </w:t>
            </w:r>
            <w:r>
              <w:rPr>
                <w:rFonts w:ascii="Times New Roman" w:hAnsi="Times New Roman" w:eastAsia="Times New Roman" w:cs="Times New Roman"/>
              </w:rPr>
              <w:t>MHz</w:t>
            </w:r>
            <w:r>
              <w:rPr>
                <w:rFonts w:ascii="Times New Roman" w:hAnsi="Times New Roman" w:eastAsia="Times New Roman" w:cs="Times New Roman"/>
                <w:spacing w:val="38"/>
                <w:w w:val="101"/>
              </w:rPr>
              <w:t xml:space="preserve"> </w:t>
            </w:r>
            <w:r>
              <w:rPr>
                <w:spacing w:val="9"/>
              </w:rPr>
              <w:t>频段内非对地静止轨道数据采集平台</w:t>
            </w:r>
            <w:r>
              <w:t xml:space="preserve"> </w:t>
            </w:r>
            <w:r>
              <w:rPr>
                <w:spacing w:val="4"/>
              </w:rPr>
              <w:t>的保护标准</w:t>
            </w:r>
          </w:p>
        </w:tc>
        <w:tc>
          <w:tcPr>
            <w:tcW w:w="5906" w:type="dxa"/>
            <w:vAlign w:val="top"/>
          </w:tcPr>
          <w:p w14:paraId="4A63C25C">
            <w:pPr>
              <w:pStyle w:val="6"/>
              <w:spacing w:before="131" w:line="274" w:lineRule="auto"/>
              <w:ind w:left="124" w:right="104" w:hanging="7"/>
            </w:pPr>
            <w:r>
              <w:rPr>
                <w:spacing w:val="14"/>
              </w:rPr>
              <w:t>适用于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4"/>
              </w:rPr>
              <w:t>401-403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MHz</w:t>
            </w:r>
            <w:r>
              <w:rPr>
                <w:rFonts w:ascii="Times New Roman" w:hAnsi="Times New Roman" w:eastAsia="Times New Roman" w:cs="Times New Roman"/>
                <w:spacing w:val="35"/>
                <w:w w:val="101"/>
              </w:rPr>
              <w:t xml:space="preserve"> </w:t>
            </w:r>
            <w:r>
              <w:rPr>
                <w:spacing w:val="14"/>
              </w:rPr>
              <w:t>频段内非对地静止轨道轨道数据采集系</w:t>
            </w:r>
            <w:r>
              <w:t xml:space="preserve"> </w:t>
            </w:r>
            <w:r>
              <w:rPr>
                <w:spacing w:val="-5"/>
              </w:rPr>
              <w:t>统。</w:t>
            </w:r>
          </w:p>
        </w:tc>
      </w:tr>
    </w:tbl>
    <w:p w14:paraId="51619247">
      <w:pPr>
        <w:rPr>
          <w:rFonts w:ascii="Arial"/>
          <w:sz w:val="21"/>
        </w:rPr>
      </w:pPr>
    </w:p>
    <w:p w14:paraId="4BEACBCF"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6839" w:h="11906"/>
          <w:pgMar w:top="1012" w:right="1440" w:bottom="1200" w:left="1440" w:header="0" w:footer="1013" w:gutter="0"/>
          <w:cols w:space="720" w:num="1"/>
        </w:sectPr>
      </w:pPr>
    </w:p>
    <w:p w14:paraId="554200A2">
      <w:pPr>
        <w:spacing w:before="103"/>
      </w:pPr>
    </w:p>
    <w:p w14:paraId="30D51F0D">
      <w:pPr>
        <w:spacing w:before="103"/>
      </w:pPr>
    </w:p>
    <w:tbl>
      <w:tblPr>
        <w:tblStyle w:val="5"/>
        <w:tblW w:w="139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709"/>
        <w:gridCol w:w="1355"/>
        <w:gridCol w:w="4849"/>
        <w:gridCol w:w="5906"/>
      </w:tblGrid>
      <w:tr w14:paraId="65E076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133" w:type="dxa"/>
            <w:vAlign w:val="top"/>
          </w:tcPr>
          <w:p w14:paraId="14060B94">
            <w:pPr>
              <w:pStyle w:val="6"/>
              <w:spacing w:before="89" w:line="224" w:lineRule="auto"/>
              <w:ind w:left="160"/>
            </w:pPr>
            <w:r>
              <w:rPr>
                <w:b/>
                <w:bCs/>
                <w:spacing w:val="4"/>
              </w:rPr>
              <w:t>业务名称</w:t>
            </w:r>
          </w:p>
        </w:tc>
        <w:tc>
          <w:tcPr>
            <w:tcW w:w="709" w:type="dxa"/>
            <w:vAlign w:val="top"/>
          </w:tcPr>
          <w:p w14:paraId="6AD79A59">
            <w:pPr>
              <w:pStyle w:val="6"/>
              <w:spacing w:before="89" w:line="225" w:lineRule="auto"/>
              <w:ind w:left="145"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55" w:type="dxa"/>
            <w:vAlign w:val="top"/>
          </w:tcPr>
          <w:p w14:paraId="138C5B46">
            <w:pPr>
              <w:pStyle w:val="6"/>
              <w:spacing w:before="88" w:line="227" w:lineRule="auto"/>
              <w:ind w:left="156"/>
            </w:pPr>
            <w:r>
              <w:rPr>
                <w:b/>
                <w:bCs/>
                <w:spacing w:val="6"/>
              </w:rPr>
              <w:t>建议书编号</w:t>
            </w:r>
          </w:p>
        </w:tc>
        <w:tc>
          <w:tcPr>
            <w:tcW w:w="4849" w:type="dxa"/>
            <w:vAlign w:val="top"/>
          </w:tcPr>
          <w:p w14:paraId="3E31C2CA">
            <w:pPr>
              <w:pStyle w:val="6"/>
              <w:spacing w:before="89" w:line="225" w:lineRule="auto"/>
              <w:ind w:left="2218"/>
            </w:pPr>
            <w:r>
              <w:rPr>
                <w:b/>
                <w:bCs/>
                <w:spacing w:val="4"/>
              </w:rPr>
              <w:t>标题</w:t>
            </w:r>
          </w:p>
        </w:tc>
        <w:tc>
          <w:tcPr>
            <w:tcW w:w="5906" w:type="dxa"/>
            <w:vAlign w:val="top"/>
          </w:tcPr>
          <w:p w14:paraId="200DBB7D">
            <w:pPr>
              <w:pStyle w:val="6"/>
              <w:spacing w:before="89" w:line="225" w:lineRule="auto"/>
              <w:ind w:left="2547"/>
            </w:pPr>
            <w:r>
              <w:rPr>
                <w:b/>
                <w:bCs/>
                <w:spacing w:val="4"/>
              </w:rPr>
              <w:t>主要内容</w:t>
            </w:r>
          </w:p>
        </w:tc>
      </w:tr>
      <w:tr w14:paraId="273F68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133" w:type="dxa"/>
            <w:vMerge w:val="restart"/>
            <w:tcBorders>
              <w:bottom w:val="nil"/>
            </w:tcBorders>
            <w:vAlign w:val="top"/>
          </w:tcPr>
          <w:p w14:paraId="75CD2E54">
            <w:pPr>
              <w:spacing w:line="260" w:lineRule="auto"/>
              <w:rPr>
                <w:rFonts w:ascii="Arial"/>
                <w:sz w:val="21"/>
              </w:rPr>
            </w:pPr>
          </w:p>
          <w:p w14:paraId="6026D132">
            <w:pPr>
              <w:spacing w:line="260" w:lineRule="auto"/>
              <w:rPr>
                <w:rFonts w:ascii="Arial"/>
                <w:sz w:val="21"/>
              </w:rPr>
            </w:pPr>
          </w:p>
          <w:p w14:paraId="6827B0F9">
            <w:pPr>
              <w:spacing w:line="260" w:lineRule="auto"/>
              <w:rPr>
                <w:rFonts w:ascii="Arial"/>
                <w:sz w:val="21"/>
              </w:rPr>
            </w:pPr>
          </w:p>
          <w:p w14:paraId="77069D0A">
            <w:pPr>
              <w:spacing w:line="260" w:lineRule="auto"/>
              <w:rPr>
                <w:rFonts w:ascii="Arial"/>
                <w:sz w:val="21"/>
              </w:rPr>
            </w:pPr>
          </w:p>
          <w:p w14:paraId="7290BE2B">
            <w:pPr>
              <w:spacing w:line="261" w:lineRule="auto"/>
              <w:rPr>
                <w:rFonts w:ascii="Arial"/>
                <w:sz w:val="21"/>
              </w:rPr>
            </w:pPr>
          </w:p>
          <w:p w14:paraId="424FA463">
            <w:pPr>
              <w:spacing w:line="261" w:lineRule="auto"/>
              <w:rPr>
                <w:rFonts w:ascii="Arial"/>
                <w:sz w:val="21"/>
              </w:rPr>
            </w:pPr>
          </w:p>
          <w:p w14:paraId="0FEB70EC">
            <w:pPr>
              <w:spacing w:line="261" w:lineRule="auto"/>
              <w:rPr>
                <w:rFonts w:ascii="Arial"/>
                <w:sz w:val="21"/>
              </w:rPr>
            </w:pPr>
          </w:p>
          <w:p w14:paraId="6F399157">
            <w:pPr>
              <w:pStyle w:val="6"/>
              <w:spacing w:before="65" w:line="273" w:lineRule="auto"/>
              <w:ind w:left="371" w:right="141" w:hanging="204"/>
            </w:pPr>
            <w:r>
              <w:rPr>
                <w:b/>
                <w:bCs/>
                <w:spacing w:val="2"/>
              </w:rPr>
              <w:t>空间研究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1"/>
              </w:rPr>
              <w:t>业务</w:t>
            </w:r>
          </w:p>
        </w:tc>
        <w:tc>
          <w:tcPr>
            <w:tcW w:w="709" w:type="dxa"/>
            <w:vAlign w:val="top"/>
          </w:tcPr>
          <w:p w14:paraId="2664F947">
            <w:pPr>
              <w:spacing w:line="365" w:lineRule="auto"/>
              <w:rPr>
                <w:rFonts w:ascii="Arial"/>
                <w:sz w:val="21"/>
              </w:rPr>
            </w:pPr>
          </w:p>
          <w:p w14:paraId="69287CE1">
            <w:pPr>
              <w:spacing w:before="57" w:line="195" w:lineRule="auto"/>
              <w:ind w:left="3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  <w:vAlign w:val="top"/>
          </w:tcPr>
          <w:p w14:paraId="4A7C4C37">
            <w:pPr>
              <w:spacing w:before="271" w:line="321" w:lineRule="auto"/>
              <w:ind w:left="116" w:right="611" w:hanging="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ITU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-R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SA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.510</w:t>
            </w:r>
          </w:p>
        </w:tc>
        <w:tc>
          <w:tcPr>
            <w:tcW w:w="4849" w:type="dxa"/>
            <w:vAlign w:val="top"/>
          </w:tcPr>
          <w:p w14:paraId="672B9DD0">
            <w:pPr>
              <w:pStyle w:val="6"/>
              <w:spacing w:before="76" w:line="278" w:lineRule="auto"/>
              <w:ind w:left="115" w:right="99" w:firstLine="12"/>
              <w:jc w:val="both"/>
            </w:pPr>
            <w:r>
              <w:rPr>
                <w:spacing w:val="5"/>
              </w:rPr>
              <w:t>空间研究业务与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14 </w:t>
            </w:r>
            <w:r>
              <w:rPr>
                <w:rFonts w:ascii="Times New Roman" w:hAnsi="Times New Roman" w:eastAsia="Times New Roman" w:cs="Times New Roman"/>
              </w:rPr>
              <w:t>GHz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 </w:t>
            </w:r>
            <w:r>
              <w:rPr>
                <w:spacing w:val="5"/>
              </w:rPr>
              <w:t>和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15 </w:t>
            </w:r>
            <w:r>
              <w:rPr>
                <w:rFonts w:ascii="Times New Roman" w:hAnsi="Times New Roman" w:eastAsia="Times New Roman" w:cs="Times New Roman"/>
              </w:rPr>
              <w:t>GHz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 </w:t>
            </w:r>
            <w:r>
              <w:rPr>
                <w:spacing w:val="5"/>
              </w:rPr>
              <w:t>频段附近其它业</w:t>
            </w:r>
            <w:r>
              <w:t xml:space="preserve"> </w:t>
            </w:r>
            <w:r>
              <w:rPr>
                <w:spacing w:val="10"/>
              </w:rPr>
              <w:t>务频率共用的可行性—数据中继卫星系统的潜在干</w:t>
            </w:r>
            <w:r>
              <w:rPr>
                <w:spacing w:val="2"/>
              </w:rPr>
              <w:t xml:space="preserve"> </w:t>
            </w:r>
            <w:r>
              <w:t>扰</w:t>
            </w:r>
          </w:p>
        </w:tc>
        <w:tc>
          <w:tcPr>
            <w:tcW w:w="5906" w:type="dxa"/>
            <w:vAlign w:val="top"/>
          </w:tcPr>
          <w:p w14:paraId="0032498A">
            <w:pPr>
              <w:pStyle w:val="6"/>
              <w:spacing w:before="233" w:line="272" w:lineRule="auto"/>
              <w:ind w:left="122" w:right="101" w:hanging="4"/>
            </w:pPr>
            <w:r>
              <w:rPr>
                <w:spacing w:val="5"/>
              </w:rPr>
              <w:t>对于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14 </w:t>
            </w:r>
            <w:r>
              <w:rPr>
                <w:rFonts w:ascii="Times New Roman" w:hAnsi="Times New Roman" w:eastAsia="Times New Roman" w:cs="Times New Roman"/>
              </w:rPr>
              <w:t>GHz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5"/>
              </w:rPr>
              <w:t>和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15 </w:t>
            </w:r>
            <w:r>
              <w:rPr>
                <w:rFonts w:ascii="Times New Roman" w:hAnsi="Times New Roman" w:eastAsia="Times New Roman" w:cs="Times New Roman"/>
              </w:rPr>
              <w:t>GHz</w:t>
            </w:r>
            <w:r>
              <w:rPr>
                <w:rFonts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spacing w:val="5"/>
              </w:rPr>
              <w:t>附近频段，空间研究业</w:t>
            </w:r>
            <w:r>
              <w:rPr>
                <w:spacing w:val="4"/>
              </w:rPr>
              <w:t>务与其他业务的</w:t>
            </w:r>
            <w:r>
              <w:t xml:space="preserve"> </w:t>
            </w:r>
            <w:r>
              <w:rPr>
                <w:spacing w:val="5"/>
              </w:rPr>
              <w:t>干扰保护标准。</w:t>
            </w:r>
          </w:p>
        </w:tc>
      </w:tr>
      <w:tr w14:paraId="14271A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133" w:type="dxa"/>
            <w:vMerge w:val="continue"/>
            <w:tcBorders>
              <w:top w:val="nil"/>
              <w:bottom w:val="nil"/>
            </w:tcBorders>
            <w:vAlign w:val="top"/>
          </w:tcPr>
          <w:p w14:paraId="3D70407C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5CBA11B4">
            <w:pPr>
              <w:spacing w:before="284" w:line="195" w:lineRule="auto"/>
              <w:ind w:left="30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355" w:type="dxa"/>
            <w:vAlign w:val="top"/>
          </w:tcPr>
          <w:p w14:paraId="03281D7C">
            <w:pPr>
              <w:spacing w:before="130" w:line="296" w:lineRule="auto"/>
              <w:ind w:left="116" w:right="611" w:hanging="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ITU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-R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SA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.609</w:t>
            </w:r>
          </w:p>
        </w:tc>
        <w:tc>
          <w:tcPr>
            <w:tcW w:w="4849" w:type="dxa"/>
            <w:vAlign w:val="top"/>
          </w:tcPr>
          <w:p w14:paraId="56159524">
            <w:pPr>
              <w:pStyle w:val="6"/>
              <w:spacing w:before="93" w:line="272" w:lineRule="auto"/>
              <w:ind w:left="130" w:right="104" w:hanging="12"/>
            </w:pPr>
            <w:r>
              <w:rPr>
                <w:spacing w:val="10"/>
              </w:rPr>
              <w:t>有人和无人操纵的近地科学卫星的无线电通信链路</w:t>
            </w:r>
            <w:r>
              <w:t xml:space="preserve"> </w:t>
            </w:r>
            <w:r>
              <w:rPr>
                <w:spacing w:val="4"/>
              </w:rPr>
              <w:t>的保护准则</w:t>
            </w:r>
          </w:p>
        </w:tc>
        <w:tc>
          <w:tcPr>
            <w:tcW w:w="5906" w:type="dxa"/>
            <w:vAlign w:val="top"/>
          </w:tcPr>
          <w:p w14:paraId="2E0ED588">
            <w:pPr>
              <w:pStyle w:val="6"/>
              <w:spacing w:before="249" w:line="224" w:lineRule="auto"/>
              <w:ind w:left="117"/>
            </w:pPr>
            <w:r>
              <w:rPr>
                <w:spacing w:val="8"/>
              </w:rPr>
              <w:t>适用于空间研究业务上下行链路。</w:t>
            </w:r>
          </w:p>
        </w:tc>
      </w:tr>
      <w:tr w14:paraId="401DA6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133" w:type="dxa"/>
            <w:vMerge w:val="continue"/>
            <w:tcBorders>
              <w:top w:val="nil"/>
              <w:bottom w:val="nil"/>
            </w:tcBorders>
            <w:vAlign w:val="top"/>
          </w:tcPr>
          <w:p w14:paraId="281D3131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2181D2EC">
            <w:pPr>
              <w:spacing w:before="286" w:line="195" w:lineRule="auto"/>
              <w:ind w:left="3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355" w:type="dxa"/>
            <w:vAlign w:val="top"/>
          </w:tcPr>
          <w:p w14:paraId="4380BEE1">
            <w:pPr>
              <w:spacing w:before="133" w:line="192" w:lineRule="auto"/>
              <w:ind w:left="1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ITU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-R</w:t>
            </w:r>
          </w:p>
          <w:p w14:paraId="11619FCB">
            <w:pPr>
              <w:spacing w:before="125" w:line="195" w:lineRule="auto"/>
              <w:ind w:left="1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SA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.1155</w:t>
            </w:r>
          </w:p>
        </w:tc>
        <w:tc>
          <w:tcPr>
            <w:tcW w:w="4849" w:type="dxa"/>
            <w:vAlign w:val="top"/>
          </w:tcPr>
          <w:p w14:paraId="75879CE0">
            <w:pPr>
              <w:pStyle w:val="6"/>
              <w:spacing w:before="251" w:line="223" w:lineRule="auto"/>
              <w:ind w:left="124"/>
            </w:pPr>
            <w:r>
              <w:rPr>
                <w:spacing w:val="8"/>
              </w:rPr>
              <w:t>与数据中继卫星系统操作相关的保护标准</w:t>
            </w:r>
          </w:p>
        </w:tc>
        <w:tc>
          <w:tcPr>
            <w:tcW w:w="5906" w:type="dxa"/>
            <w:vAlign w:val="top"/>
          </w:tcPr>
          <w:p w14:paraId="4FC4F363">
            <w:pPr>
              <w:pStyle w:val="6"/>
              <w:spacing w:before="251" w:line="224" w:lineRule="auto"/>
              <w:ind w:left="117"/>
            </w:pPr>
            <w:r>
              <w:rPr>
                <w:spacing w:val="8"/>
              </w:rPr>
              <w:t>适用于数据中继卫星系统的各种链路。</w:t>
            </w:r>
          </w:p>
        </w:tc>
      </w:tr>
      <w:tr w14:paraId="6E5642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33" w:type="dxa"/>
            <w:vMerge w:val="continue"/>
            <w:tcBorders>
              <w:top w:val="nil"/>
              <w:bottom w:val="nil"/>
            </w:tcBorders>
            <w:vAlign w:val="top"/>
          </w:tcPr>
          <w:p w14:paraId="52BBEBD3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759ABA4D">
            <w:pPr>
              <w:spacing w:before="248" w:line="195" w:lineRule="auto"/>
              <w:ind w:left="3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1355" w:type="dxa"/>
            <w:vAlign w:val="top"/>
          </w:tcPr>
          <w:p w14:paraId="4053C72C">
            <w:pPr>
              <w:spacing w:before="94" w:line="192" w:lineRule="auto"/>
              <w:ind w:left="1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ITU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-R</w:t>
            </w:r>
          </w:p>
          <w:p w14:paraId="51E04B53">
            <w:pPr>
              <w:spacing w:before="125" w:line="195" w:lineRule="auto"/>
              <w:ind w:left="1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SA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.1157</w:t>
            </w:r>
          </w:p>
        </w:tc>
        <w:tc>
          <w:tcPr>
            <w:tcW w:w="4849" w:type="dxa"/>
            <w:vAlign w:val="top"/>
          </w:tcPr>
          <w:p w14:paraId="14C4D193">
            <w:pPr>
              <w:pStyle w:val="6"/>
              <w:spacing w:before="212" w:line="224" w:lineRule="auto"/>
              <w:ind w:left="117"/>
            </w:pPr>
            <w:r>
              <w:rPr>
                <w:spacing w:val="8"/>
              </w:rPr>
              <w:t>深空研究的保护标准</w:t>
            </w:r>
          </w:p>
        </w:tc>
        <w:tc>
          <w:tcPr>
            <w:tcW w:w="5906" w:type="dxa"/>
            <w:vAlign w:val="top"/>
          </w:tcPr>
          <w:p w14:paraId="0C5644C4">
            <w:pPr>
              <w:pStyle w:val="6"/>
              <w:spacing w:before="57" w:line="259" w:lineRule="auto"/>
              <w:ind w:left="116" w:right="108"/>
            </w:pPr>
            <w:r>
              <w:rPr>
                <w:spacing w:val="9"/>
              </w:rPr>
              <w:t>适用于在距地球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</w:rPr>
              <w:t xml:space="preserve"> </w:t>
            </w:r>
            <w:r>
              <w:rPr>
                <w:spacing w:val="9"/>
              </w:rPr>
              <w:t>百万公里以上的深空中的载人研究卫星和无</w:t>
            </w:r>
            <w:r>
              <w:t xml:space="preserve"> </w:t>
            </w:r>
            <w:r>
              <w:rPr>
                <w:spacing w:val="8"/>
              </w:rPr>
              <w:t>人研究卫星所需要的保护标准。</w:t>
            </w:r>
          </w:p>
        </w:tc>
      </w:tr>
      <w:tr w14:paraId="0023D4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33" w:type="dxa"/>
            <w:vMerge w:val="continue"/>
            <w:tcBorders>
              <w:top w:val="nil"/>
              <w:bottom w:val="nil"/>
            </w:tcBorders>
            <w:vAlign w:val="top"/>
          </w:tcPr>
          <w:p w14:paraId="4DC8C565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250664D2">
            <w:pPr>
              <w:spacing w:before="250" w:line="192" w:lineRule="auto"/>
              <w:ind w:left="30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355" w:type="dxa"/>
            <w:vAlign w:val="top"/>
          </w:tcPr>
          <w:p w14:paraId="71215B1C">
            <w:pPr>
              <w:spacing w:before="94" w:line="192" w:lineRule="auto"/>
              <w:ind w:left="1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ITU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-R</w:t>
            </w:r>
          </w:p>
          <w:p w14:paraId="2AECD162">
            <w:pPr>
              <w:spacing w:before="125" w:line="195" w:lineRule="auto"/>
              <w:ind w:left="1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SA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.1629</w:t>
            </w:r>
          </w:p>
        </w:tc>
        <w:tc>
          <w:tcPr>
            <w:tcW w:w="4849" w:type="dxa"/>
            <w:vAlign w:val="top"/>
          </w:tcPr>
          <w:p w14:paraId="50065EFF">
            <w:pPr>
              <w:pStyle w:val="6"/>
              <w:spacing w:before="55" w:line="260" w:lineRule="auto"/>
              <w:ind w:left="124" w:right="102" w:hanging="15"/>
            </w:pPr>
            <w:r>
              <w:rPr>
                <w:rFonts w:ascii="Times New Roman" w:hAnsi="Times New Roman" w:eastAsia="Times New Roman" w:cs="Times New Roman"/>
                <w:spacing w:val="9"/>
              </w:rPr>
              <w:t xml:space="preserve">257-262 </w:t>
            </w:r>
            <w:r>
              <w:rPr>
                <w:rFonts w:ascii="Times New Roman" w:hAnsi="Times New Roman" w:eastAsia="Times New Roman" w:cs="Times New Roman"/>
              </w:rPr>
              <w:t>MHz</w:t>
            </w:r>
            <w:r>
              <w:rPr>
                <w:rFonts w:ascii="Times New Roman" w:hAnsi="Times New Roman" w:eastAsia="Times New Roman" w:cs="Times New Roman"/>
                <w:spacing w:val="37"/>
                <w:w w:val="101"/>
              </w:rPr>
              <w:t xml:space="preserve"> </w:t>
            </w:r>
            <w:r>
              <w:rPr>
                <w:spacing w:val="9"/>
              </w:rPr>
              <w:t>频段内的固定、移动和卫星移动业务</w:t>
            </w:r>
            <w:r>
              <w:t xml:space="preserve"> </w:t>
            </w:r>
            <w:r>
              <w:rPr>
                <w:spacing w:val="9"/>
              </w:rPr>
              <w:t>与空间研究和空间操作业务中的指令链路的共用</w:t>
            </w:r>
          </w:p>
        </w:tc>
        <w:tc>
          <w:tcPr>
            <w:tcW w:w="5906" w:type="dxa"/>
            <w:vAlign w:val="top"/>
          </w:tcPr>
          <w:p w14:paraId="2D4842FE">
            <w:pPr>
              <w:pStyle w:val="6"/>
              <w:spacing w:before="55" w:line="260" w:lineRule="auto"/>
              <w:ind w:left="116" w:right="109"/>
            </w:pPr>
            <w:r>
              <w:rPr>
                <w:spacing w:val="10"/>
              </w:rPr>
              <w:t>适用于空间研究与空间操作业务指令链路的链路性能分析及技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术设备特性。</w:t>
            </w:r>
          </w:p>
        </w:tc>
      </w:tr>
      <w:tr w14:paraId="1ABEAF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33" w:type="dxa"/>
            <w:vMerge w:val="continue"/>
            <w:tcBorders>
              <w:top w:val="nil"/>
            </w:tcBorders>
            <w:vAlign w:val="top"/>
          </w:tcPr>
          <w:p w14:paraId="70B35140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5B25580E">
            <w:pPr>
              <w:spacing w:before="247" w:line="195" w:lineRule="auto"/>
              <w:ind w:left="3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355" w:type="dxa"/>
            <w:vAlign w:val="top"/>
          </w:tcPr>
          <w:p w14:paraId="64798C45">
            <w:pPr>
              <w:spacing w:before="94" w:line="192" w:lineRule="auto"/>
              <w:ind w:left="1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ITU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-R</w:t>
            </w:r>
          </w:p>
          <w:p w14:paraId="4449EFC7">
            <w:pPr>
              <w:spacing w:before="125" w:line="195" w:lineRule="auto"/>
              <w:ind w:left="1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SA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.1743</w:t>
            </w:r>
          </w:p>
        </w:tc>
        <w:tc>
          <w:tcPr>
            <w:tcW w:w="4849" w:type="dxa"/>
            <w:vAlign w:val="top"/>
          </w:tcPr>
          <w:p w14:paraId="06CC22D1">
            <w:pPr>
              <w:pStyle w:val="6"/>
              <w:spacing w:before="55" w:line="260" w:lineRule="auto"/>
              <w:ind w:left="118" w:right="104" w:firstLine="23"/>
            </w:pPr>
            <w:r>
              <w:rPr>
                <w:spacing w:val="9"/>
              </w:rPr>
              <w:t>由其他无线电源发射和辐射干扰产生的、空间</w:t>
            </w:r>
            <w:r>
              <w:rPr>
                <w:spacing w:val="8"/>
              </w:rPr>
              <w:t>研究</w:t>
            </w:r>
            <w:r>
              <w:t xml:space="preserve"> </w:t>
            </w:r>
            <w:r>
              <w:rPr>
                <w:spacing w:val="9"/>
              </w:rPr>
              <w:t>和空间操作业务无线电通信链路的最大容许衰减</w:t>
            </w:r>
          </w:p>
        </w:tc>
        <w:tc>
          <w:tcPr>
            <w:tcW w:w="5906" w:type="dxa"/>
            <w:vAlign w:val="top"/>
          </w:tcPr>
          <w:p w14:paraId="55696998">
            <w:pPr>
              <w:pStyle w:val="6"/>
              <w:spacing w:before="55" w:line="260" w:lineRule="auto"/>
              <w:ind w:left="117" w:right="109"/>
            </w:pPr>
            <w:r>
              <w:rPr>
                <w:spacing w:val="10"/>
              </w:rPr>
              <w:t>适用于当不存在共用准则的时候，影响空间研究业务和空间操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作业务的三类干扰源，并分配了每一类干扰源干扰的百分比。</w:t>
            </w:r>
          </w:p>
        </w:tc>
      </w:tr>
      <w:tr w14:paraId="197C1F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33" w:type="dxa"/>
            <w:vMerge w:val="restart"/>
            <w:tcBorders>
              <w:bottom w:val="nil"/>
            </w:tcBorders>
            <w:vAlign w:val="top"/>
          </w:tcPr>
          <w:p w14:paraId="03FB635E">
            <w:pPr>
              <w:spacing w:line="460" w:lineRule="auto"/>
              <w:rPr>
                <w:rFonts w:ascii="Arial"/>
                <w:sz w:val="21"/>
              </w:rPr>
            </w:pPr>
          </w:p>
          <w:p w14:paraId="550756E5">
            <w:pPr>
              <w:pStyle w:val="6"/>
              <w:spacing w:before="65" w:line="273" w:lineRule="auto"/>
              <w:ind w:left="371" w:right="141" w:hanging="204"/>
            </w:pPr>
            <w:r>
              <w:rPr>
                <w:b/>
                <w:bCs/>
                <w:spacing w:val="2"/>
              </w:rPr>
              <w:t>空间操作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1"/>
              </w:rPr>
              <w:t>业务</w:t>
            </w:r>
          </w:p>
        </w:tc>
        <w:tc>
          <w:tcPr>
            <w:tcW w:w="709" w:type="dxa"/>
            <w:vAlign w:val="top"/>
          </w:tcPr>
          <w:p w14:paraId="4073BB6F">
            <w:pPr>
              <w:spacing w:before="246" w:line="195" w:lineRule="auto"/>
              <w:ind w:left="3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  <w:vAlign w:val="top"/>
          </w:tcPr>
          <w:p w14:paraId="5BB88210">
            <w:pPr>
              <w:spacing w:before="93" w:line="274" w:lineRule="auto"/>
              <w:ind w:left="116" w:right="611" w:hanging="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ITU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-R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SA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.363</w:t>
            </w:r>
          </w:p>
        </w:tc>
        <w:tc>
          <w:tcPr>
            <w:tcW w:w="4849" w:type="dxa"/>
            <w:vAlign w:val="top"/>
          </w:tcPr>
          <w:p w14:paraId="1F6C60A7">
            <w:pPr>
              <w:pStyle w:val="6"/>
              <w:spacing w:before="211" w:line="223" w:lineRule="auto"/>
              <w:ind w:left="128"/>
            </w:pPr>
            <w:r>
              <w:rPr>
                <w:spacing w:val="5"/>
              </w:rPr>
              <w:t>空间操作系统</w:t>
            </w:r>
          </w:p>
        </w:tc>
        <w:tc>
          <w:tcPr>
            <w:tcW w:w="5906" w:type="dxa"/>
            <w:vAlign w:val="top"/>
          </w:tcPr>
          <w:p w14:paraId="3D6DD979">
            <w:pPr>
              <w:pStyle w:val="6"/>
              <w:spacing w:before="55" w:line="260" w:lineRule="auto"/>
              <w:ind w:left="117" w:right="109"/>
            </w:pPr>
            <w:r>
              <w:rPr>
                <w:spacing w:val="10"/>
              </w:rPr>
              <w:t>适用于空间操作系统的频率、带宽和保护标准等方面的一般性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指导。</w:t>
            </w:r>
          </w:p>
        </w:tc>
      </w:tr>
      <w:tr w14:paraId="06C3D1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133" w:type="dxa"/>
            <w:vMerge w:val="continue"/>
            <w:tcBorders>
              <w:top w:val="nil"/>
            </w:tcBorders>
            <w:vAlign w:val="top"/>
          </w:tcPr>
          <w:p w14:paraId="117000AB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4D8CC8F1">
            <w:pPr>
              <w:spacing w:line="342" w:lineRule="auto"/>
              <w:rPr>
                <w:rFonts w:ascii="Arial"/>
                <w:sz w:val="21"/>
              </w:rPr>
            </w:pPr>
          </w:p>
          <w:p w14:paraId="7D998F43">
            <w:pPr>
              <w:spacing w:before="58" w:line="195" w:lineRule="auto"/>
              <w:ind w:left="30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355" w:type="dxa"/>
            <w:vAlign w:val="top"/>
          </w:tcPr>
          <w:p w14:paraId="65A3F357">
            <w:pPr>
              <w:spacing w:before="249" w:line="192" w:lineRule="auto"/>
              <w:ind w:left="1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ITU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-R</w:t>
            </w:r>
          </w:p>
          <w:p w14:paraId="5F957C9D">
            <w:pPr>
              <w:spacing w:before="125" w:line="195" w:lineRule="auto"/>
              <w:ind w:left="1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SA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.1273</w:t>
            </w:r>
          </w:p>
        </w:tc>
        <w:tc>
          <w:tcPr>
            <w:tcW w:w="4849" w:type="dxa"/>
            <w:vAlign w:val="top"/>
          </w:tcPr>
          <w:p w14:paraId="7B33D87D">
            <w:pPr>
              <w:pStyle w:val="6"/>
              <w:spacing w:before="55" w:line="269" w:lineRule="auto"/>
              <w:ind w:left="116" w:right="97" w:hanging="6"/>
              <w:jc w:val="both"/>
            </w:pPr>
            <w:r>
              <w:rPr>
                <w:spacing w:val="6"/>
              </w:rPr>
              <w:t>保护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2025-2110 </w:t>
            </w:r>
            <w:r>
              <w:rPr>
                <w:rFonts w:ascii="Times New Roman" w:hAnsi="Times New Roman" w:eastAsia="Times New Roman" w:cs="Times New Roman"/>
              </w:rPr>
              <w:t>MHz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</w:t>
            </w:r>
            <w:r>
              <w:rPr>
                <w:spacing w:val="6"/>
              </w:rPr>
              <w:t>和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2200-2290 </w:t>
            </w:r>
            <w:r>
              <w:rPr>
                <w:rFonts w:ascii="Times New Roman" w:hAnsi="Times New Roman" w:eastAsia="Times New Roman" w:cs="Times New Roman"/>
              </w:rPr>
              <w:t>MHz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</w:t>
            </w:r>
            <w:r>
              <w:rPr>
                <w:spacing w:val="6"/>
              </w:rPr>
              <w:t>频段</w:t>
            </w:r>
            <w:r>
              <w:rPr>
                <w:spacing w:val="5"/>
              </w:rPr>
              <w:t>内固定</w:t>
            </w:r>
            <w:r>
              <w:t xml:space="preserve"> </w:t>
            </w:r>
            <w:r>
              <w:rPr>
                <w:spacing w:val="10"/>
              </w:rPr>
              <w:t>业务所需的地球表面空间研究、空间操作和卫</w:t>
            </w:r>
            <w:r>
              <w:rPr>
                <w:spacing w:val="9"/>
              </w:rPr>
              <w:t>星地</w:t>
            </w:r>
            <w:r>
              <w:t xml:space="preserve"> </w:t>
            </w:r>
            <w:r>
              <w:rPr>
                <w:spacing w:val="9"/>
              </w:rPr>
              <w:t>球探测业务的功率通量密度的要求</w:t>
            </w:r>
          </w:p>
        </w:tc>
        <w:tc>
          <w:tcPr>
            <w:tcW w:w="5906" w:type="dxa"/>
            <w:vAlign w:val="top"/>
          </w:tcPr>
          <w:p w14:paraId="7392A4A8">
            <w:pPr>
              <w:pStyle w:val="6"/>
              <w:spacing w:before="55" w:line="269" w:lineRule="auto"/>
              <w:ind w:left="110" w:right="99" w:firstLine="6"/>
              <w:jc w:val="both"/>
            </w:pPr>
            <w:r>
              <w:rPr>
                <w:spacing w:val="16"/>
              </w:rPr>
              <w:t>适用于空间研究业务、</w:t>
            </w:r>
            <w:r>
              <w:rPr>
                <w:spacing w:val="-42"/>
              </w:rPr>
              <w:t xml:space="preserve"> </w:t>
            </w:r>
            <w:r>
              <w:rPr>
                <w:spacing w:val="16"/>
              </w:rPr>
              <w:t>空间操作业务和卫星地球探测业务在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2025-2110 </w:t>
            </w:r>
            <w:r>
              <w:rPr>
                <w:rFonts w:ascii="Times New Roman" w:hAnsi="Times New Roman" w:eastAsia="Times New Roman" w:cs="Times New Roman"/>
              </w:rPr>
              <w:t>MHz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7"/>
              </w:rPr>
              <w:t>和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2200-2290 </w:t>
            </w:r>
            <w:r>
              <w:rPr>
                <w:rFonts w:ascii="Times New Roman" w:hAnsi="Times New Roman" w:eastAsia="Times New Roman" w:cs="Times New Roman"/>
              </w:rPr>
              <w:t>MHz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>
                <w:spacing w:val="7"/>
              </w:rPr>
              <w:t>频段内对固定业务</w:t>
            </w:r>
            <w:r>
              <w:rPr>
                <w:spacing w:val="6"/>
              </w:rPr>
              <w:t>的干扰考</w:t>
            </w:r>
            <w:r>
              <w:t xml:space="preserve"> </w:t>
            </w:r>
            <w:r>
              <w:rPr>
                <w:spacing w:val="9"/>
              </w:rPr>
              <w:t>虑和与其有关功率通量密度水平的指导。</w:t>
            </w:r>
          </w:p>
        </w:tc>
      </w:tr>
      <w:tr w14:paraId="236058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33" w:type="dxa"/>
            <w:vMerge w:val="restart"/>
            <w:tcBorders>
              <w:bottom w:val="nil"/>
            </w:tcBorders>
            <w:vAlign w:val="top"/>
          </w:tcPr>
          <w:p w14:paraId="01E848BB">
            <w:pPr>
              <w:spacing w:line="259" w:lineRule="auto"/>
              <w:rPr>
                <w:rFonts w:ascii="Arial"/>
                <w:sz w:val="21"/>
              </w:rPr>
            </w:pPr>
          </w:p>
          <w:p w14:paraId="55D08BED">
            <w:pPr>
              <w:spacing w:line="259" w:lineRule="auto"/>
              <w:rPr>
                <w:rFonts w:ascii="Arial"/>
                <w:sz w:val="21"/>
              </w:rPr>
            </w:pPr>
          </w:p>
          <w:p w14:paraId="7FDF233B">
            <w:pPr>
              <w:spacing w:line="260" w:lineRule="auto"/>
              <w:rPr>
                <w:rFonts w:ascii="Arial"/>
                <w:sz w:val="21"/>
              </w:rPr>
            </w:pPr>
          </w:p>
          <w:p w14:paraId="65057474">
            <w:pPr>
              <w:pStyle w:val="6"/>
              <w:spacing w:before="65" w:line="273" w:lineRule="auto"/>
              <w:ind w:left="371" w:right="141" w:hanging="211"/>
            </w:pPr>
            <w:r>
              <w:rPr>
                <w:b/>
                <w:bCs/>
                <w:spacing w:val="4"/>
              </w:rPr>
              <w:t>射电天文</w:t>
            </w:r>
            <w:r>
              <w:t xml:space="preserve"> </w:t>
            </w:r>
            <w:r>
              <w:rPr>
                <w:b/>
                <w:bCs/>
                <w:spacing w:val="-1"/>
              </w:rPr>
              <w:t>业务</w:t>
            </w:r>
          </w:p>
        </w:tc>
        <w:tc>
          <w:tcPr>
            <w:tcW w:w="709" w:type="dxa"/>
            <w:vAlign w:val="top"/>
          </w:tcPr>
          <w:p w14:paraId="6E8CC2DE">
            <w:pPr>
              <w:spacing w:before="249" w:line="195" w:lineRule="auto"/>
              <w:ind w:left="3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355" w:type="dxa"/>
            <w:vAlign w:val="top"/>
          </w:tcPr>
          <w:p w14:paraId="0724D7BC">
            <w:pPr>
              <w:spacing w:before="95" w:line="273" w:lineRule="auto"/>
              <w:ind w:left="107" w:right="589" w:firstLin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ITU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-R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RA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.517</w:t>
            </w:r>
          </w:p>
        </w:tc>
        <w:tc>
          <w:tcPr>
            <w:tcW w:w="4849" w:type="dxa"/>
            <w:vAlign w:val="top"/>
          </w:tcPr>
          <w:p w14:paraId="772D245E">
            <w:pPr>
              <w:pStyle w:val="6"/>
              <w:spacing w:before="213" w:line="223" w:lineRule="auto"/>
              <w:ind w:left="111"/>
            </w:pPr>
            <w:r>
              <w:rPr>
                <w:spacing w:val="9"/>
              </w:rPr>
              <w:t>避免射电天文业务受在临近频带工作的发射机影响</w:t>
            </w:r>
          </w:p>
        </w:tc>
        <w:tc>
          <w:tcPr>
            <w:tcW w:w="5906" w:type="dxa"/>
            <w:vAlign w:val="top"/>
          </w:tcPr>
          <w:p w14:paraId="71CD79DC">
            <w:pPr>
              <w:pStyle w:val="6"/>
              <w:spacing w:before="57" w:line="259" w:lineRule="auto"/>
              <w:ind w:left="126" w:right="106" w:hanging="5"/>
            </w:pPr>
            <w:r>
              <w:rPr>
                <w:spacing w:val="8"/>
              </w:rPr>
              <w:t>为主管部门和</w:t>
            </w:r>
            <w:r>
              <w:rPr>
                <w:rFonts w:ascii="Times New Roman" w:hAnsi="Times New Roman" w:eastAsia="Times New Roman" w:cs="Times New Roman"/>
                <w:spacing w:val="8"/>
              </w:rPr>
              <w:t>/</w:t>
            </w:r>
            <w:r>
              <w:rPr>
                <w:spacing w:val="8"/>
              </w:rPr>
              <w:t>或运营商提供指导，避免射电</w:t>
            </w:r>
            <w:r>
              <w:rPr>
                <w:spacing w:val="7"/>
              </w:rPr>
              <w:t>天文业务受可能由</w:t>
            </w:r>
            <w:r>
              <w:t xml:space="preserve"> </w:t>
            </w:r>
            <w:r>
              <w:rPr>
                <w:spacing w:val="8"/>
              </w:rPr>
              <w:t>临近频带有源业务划分引起的带外发射的干扰。</w:t>
            </w:r>
          </w:p>
        </w:tc>
      </w:tr>
      <w:tr w14:paraId="154580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33" w:type="dxa"/>
            <w:vMerge w:val="continue"/>
            <w:tcBorders>
              <w:top w:val="nil"/>
              <w:bottom w:val="nil"/>
            </w:tcBorders>
            <w:vAlign w:val="top"/>
          </w:tcPr>
          <w:p w14:paraId="34CF04E7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7D62A93D">
            <w:pPr>
              <w:spacing w:before="249" w:line="195" w:lineRule="auto"/>
              <w:ind w:left="30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355" w:type="dxa"/>
            <w:vAlign w:val="top"/>
          </w:tcPr>
          <w:p w14:paraId="2CBCD896">
            <w:pPr>
              <w:spacing w:before="95" w:line="273" w:lineRule="auto"/>
              <w:ind w:left="107" w:right="589" w:firstLin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ITU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-R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RA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.769</w:t>
            </w:r>
          </w:p>
        </w:tc>
        <w:tc>
          <w:tcPr>
            <w:tcW w:w="4849" w:type="dxa"/>
            <w:vAlign w:val="top"/>
          </w:tcPr>
          <w:p w14:paraId="67312F60">
            <w:pPr>
              <w:pStyle w:val="6"/>
              <w:spacing w:before="213" w:line="224" w:lineRule="auto"/>
              <w:ind w:left="113"/>
            </w:pPr>
            <w:r>
              <w:rPr>
                <w:spacing w:val="9"/>
              </w:rPr>
              <w:t>用于射电天文测量的保护标准</w:t>
            </w:r>
          </w:p>
        </w:tc>
        <w:tc>
          <w:tcPr>
            <w:tcW w:w="5906" w:type="dxa"/>
            <w:vAlign w:val="top"/>
          </w:tcPr>
          <w:p w14:paraId="361C4E2D">
            <w:pPr>
              <w:pStyle w:val="6"/>
              <w:spacing w:before="57" w:line="259" w:lineRule="auto"/>
              <w:ind w:left="123" w:right="101" w:hanging="6"/>
            </w:pPr>
            <w:r>
              <w:rPr>
                <w:spacing w:val="9"/>
              </w:rPr>
              <w:t>在</w:t>
            </w:r>
            <w:r>
              <w:rPr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13.385 </w:t>
            </w:r>
            <w:r>
              <w:rPr>
                <w:rFonts w:ascii="Times New Roman" w:hAnsi="Times New Roman" w:eastAsia="Times New Roman" w:cs="Times New Roman"/>
              </w:rPr>
              <w:t>MHz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9"/>
              </w:rPr>
              <w:t>至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270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GHz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9"/>
              </w:rPr>
              <w:t>部分频段对射电天</w:t>
            </w:r>
            <w:r>
              <w:rPr>
                <w:spacing w:val="8"/>
              </w:rPr>
              <w:t>文业务产生有害</w:t>
            </w:r>
            <w:r>
              <w:t xml:space="preserve"> </w:t>
            </w:r>
            <w:r>
              <w:rPr>
                <w:spacing w:val="6"/>
              </w:rPr>
              <w:t>干扰的技术标准。</w:t>
            </w:r>
          </w:p>
        </w:tc>
      </w:tr>
      <w:tr w14:paraId="5BDC8A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33" w:type="dxa"/>
            <w:vMerge w:val="continue"/>
            <w:tcBorders>
              <w:top w:val="nil"/>
            </w:tcBorders>
            <w:vAlign w:val="top"/>
          </w:tcPr>
          <w:p w14:paraId="545A8C8C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074CC484">
            <w:pPr>
              <w:spacing w:line="344" w:lineRule="auto"/>
              <w:rPr>
                <w:rFonts w:ascii="Arial"/>
                <w:sz w:val="21"/>
              </w:rPr>
            </w:pPr>
          </w:p>
          <w:p w14:paraId="0CE22EB3">
            <w:pPr>
              <w:spacing w:before="58" w:line="195" w:lineRule="auto"/>
              <w:ind w:left="3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355" w:type="dxa"/>
            <w:vAlign w:val="top"/>
          </w:tcPr>
          <w:p w14:paraId="12BF5098">
            <w:pPr>
              <w:spacing w:before="251" w:line="192" w:lineRule="auto"/>
              <w:ind w:left="1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ITU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>-R</w:t>
            </w:r>
          </w:p>
          <w:p w14:paraId="7BAE780E">
            <w:pPr>
              <w:spacing w:before="125" w:line="195" w:lineRule="auto"/>
              <w:ind w:left="10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RA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.1513</w:t>
            </w:r>
          </w:p>
        </w:tc>
        <w:tc>
          <w:tcPr>
            <w:tcW w:w="4849" w:type="dxa"/>
            <w:vAlign w:val="top"/>
          </w:tcPr>
          <w:p w14:paraId="0EF63338">
            <w:pPr>
              <w:pStyle w:val="6"/>
              <w:spacing w:before="57" w:line="270" w:lineRule="auto"/>
              <w:ind w:left="113" w:right="104" w:firstLine="25"/>
              <w:jc w:val="both"/>
            </w:pPr>
            <w:r>
              <w:rPr>
                <w:spacing w:val="9"/>
              </w:rPr>
              <w:t>因划分给作为主要业务的射电天文业务频段干扰所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产生的劣化造成的射电天文观测数据丢失程度和时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间比例标准</w:t>
            </w:r>
          </w:p>
        </w:tc>
        <w:tc>
          <w:tcPr>
            <w:tcW w:w="5906" w:type="dxa"/>
            <w:vAlign w:val="top"/>
          </w:tcPr>
          <w:p w14:paraId="6E015A97">
            <w:pPr>
              <w:pStyle w:val="6"/>
              <w:spacing w:before="57" w:line="270" w:lineRule="auto"/>
              <w:ind w:left="108" w:right="106" w:firstLine="8"/>
              <w:jc w:val="both"/>
            </w:pPr>
            <w:r>
              <w:rPr>
                <w:spacing w:val="10"/>
              </w:rPr>
              <w:t>在作为主要业务划分给射电天文业务的任何频段内，集总数据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丢失标准为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5%</w:t>
            </w:r>
            <w:r>
              <w:rPr>
                <w:spacing w:val="5"/>
              </w:rPr>
              <w:t>，同时注意到还需就不同干扰源的分配开展深入</w:t>
            </w:r>
            <w:r>
              <w:t xml:space="preserve"> </w:t>
            </w:r>
            <w:r>
              <w:rPr>
                <w:spacing w:val="8"/>
              </w:rPr>
              <w:t>研究；对各系统而言数据丢失标准为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2%</w:t>
            </w:r>
            <w:r>
              <w:rPr>
                <w:spacing w:val="8"/>
              </w:rPr>
              <w:t>。</w:t>
            </w:r>
          </w:p>
        </w:tc>
      </w:tr>
    </w:tbl>
    <w:p w14:paraId="1006DC5B">
      <w:pPr>
        <w:rPr>
          <w:rFonts w:ascii="Arial"/>
          <w:sz w:val="21"/>
        </w:rPr>
      </w:pPr>
    </w:p>
    <w:p w14:paraId="0F24FC2B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6839" w:h="11906"/>
          <w:pgMar w:top="1012" w:right="1440" w:bottom="1200" w:left="1440" w:header="0" w:footer="1013" w:gutter="0"/>
          <w:cols w:space="720" w:num="1"/>
        </w:sectPr>
      </w:pPr>
    </w:p>
    <w:p w14:paraId="1C059551">
      <w:pPr>
        <w:spacing w:line="246" w:lineRule="auto"/>
        <w:rPr>
          <w:rFonts w:ascii="Arial"/>
          <w:sz w:val="21"/>
        </w:rPr>
      </w:pPr>
    </w:p>
    <w:p w14:paraId="07B95174">
      <w:pPr>
        <w:spacing w:line="246" w:lineRule="auto"/>
        <w:rPr>
          <w:rFonts w:ascii="Arial"/>
          <w:sz w:val="21"/>
        </w:rPr>
      </w:pPr>
    </w:p>
    <w:p w14:paraId="763428AD">
      <w:pPr>
        <w:spacing w:line="246" w:lineRule="auto"/>
        <w:rPr>
          <w:rFonts w:ascii="Arial"/>
          <w:sz w:val="21"/>
        </w:rPr>
      </w:pPr>
    </w:p>
    <w:p w14:paraId="412FB955">
      <w:pPr>
        <w:spacing w:before="101" w:line="230" w:lineRule="auto"/>
        <w:ind w:left="58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 w14:paraId="681624D0">
      <w:pPr>
        <w:spacing w:before="170" w:line="494" w:lineRule="exact"/>
        <w:ind w:left="4558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6"/>
          <w:position w:val="2"/>
          <w:sz w:val="35"/>
          <w:szCs w:val="35"/>
        </w:rPr>
        <w:t>卫星网络国内协调列表（模板）</w:t>
      </w:r>
    </w:p>
    <w:p w14:paraId="49FA37A9">
      <w:pPr>
        <w:spacing w:line="43" w:lineRule="exact"/>
      </w:pPr>
    </w:p>
    <w:tbl>
      <w:tblPr>
        <w:tblStyle w:val="5"/>
        <w:tblW w:w="141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2"/>
        <w:gridCol w:w="1308"/>
        <w:gridCol w:w="1024"/>
        <w:gridCol w:w="1555"/>
        <w:gridCol w:w="1778"/>
        <w:gridCol w:w="573"/>
        <w:gridCol w:w="1915"/>
        <w:gridCol w:w="1156"/>
        <w:gridCol w:w="1904"/>
        <w:gridCol w:w="1893"/>
      </w:tblGrid>
      <w:tr w14:paraId="2DDCDA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330" w:type="dxa"/>
            <w:gridSpan w:val="2"/>
            <w:vAlign w:val="top"/>
          </w:tcPr>
          <w:p w14:paraId="414F0860">
            <w:pPr>
              <w:pStyle w:val="6"/>
              <w:spacing w:before="57" w:line="227" w:lineRule="auto"/>
              <w:ind w:left="750"/>
            </w:pPr>
            <w:r>
              <w:t>编</w:t>
            </w:r>
            <w:r>
              <w:rPr>
                <w:spacing w:val="9"/>
              </w:rPr>
              <w:t xml:space="preserve">    </w:t>
            </w:r>
            <w:r>
              <w:t>号</w:t>
            </w:r>
          </w:p>
        </w:tc>
        <w:tc>
          <w:tcPr>
            <w:tcW w:w="11798" w:type="dxa"/>
            <w:gridSpan w:val="8"/>
            <w:vAlign w:val="top"/>
          </w:tcPr>
          <w:p w14:paraId="499A96FB">
            <w:pPr>
              <w:pStyle w:val="6"/>
              <w:spacing w:before="58" w:line="225" w:lineRule="auto"/>
              <w:ind w:left="5144"/>
            </w:pPr>
            <w:r>
              <w:rPr>
                <w:rFonts w:ascii="Times New Roman" w:hAnsi="Times New Roman" w:eastAsia="Times New Roman" w:cs="Times New Roman"/>
                <w:spacing w:val="4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4"/>
              </w:rPr>
              <w:t>年第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4"/>
              </w:rPr>
              <w:t>期</w:t>
            </w:r>
          </w:p>
        </w:tc>
      </w:tr>
      <w:tr w14:paraId="4B5E07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330" w:type="dxa"/>
            <w:gridSpan w:val="2"/>
            <w:vAlign w:val="top"/>
          </w:tcPr>
          <w:p w14:paraId="5747583A">
            <w:pPr>
              <w:pStyle w:val="6"/>
              <w:spacing w:before="53" w:line="225" w:lineRule="auto"/>
              <w:ind w:left="756"/>
            </w:pPr>
            <w:r>
              <w:rPr>
                <w:spacing w:val="5"/>
              </w:rPr>
              <w:t>卫星网络</w:t>
            </w:r>
          </w:p>
        </w:tc>
        <w:tc>
          <w:tcPr>
            <w:tcW w:w="11798" w:type="dxa"/>
            <w:gridSpan w:val="8"/>
            <w:vAlign w:val="top"/>
          </w:tcPr>
          <w:p w14:paraId="023F1EBD">
            <w:pPr>
              <w:pStyle w:val="6"/>
              <w:spacing w:before="53" w:line="226" w:lineRule="auto"/>
              <w:ind w:left="3433"/>
            </w:pPr>
            <w:r>
              <w:rPr>
                <w:rFonts w:ascii="Times New Roman" w:hAnsi="Times New Roman" w:eastAsia="Times New Roman" w:cs="Times New Roman"/>
              </w:rPr>
              <w:t>GSO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13"/>
              </w:rPr>
              <w:t>示例：</w:t>
            </w:r>
            <w:r>
              <w:rPr>
                <w:rFonts w:ascii="Times New Roman" w:hAnsi="Times New Roman" w:eastAsia="Times New Roman" w:cs="Times New Roman"/>
              </w:rPr>
              <w:t>XX</w:t>
            </w:r>
            <w:r>
              <w:rPr>
                <w:spacing w:val="13"/>
              </w:rPr>
              <w:t>（</w:t>
            </w:r>
            <w:r>
              <w:rPr>
                <w:rFonts w:ascii="Times New Roman" w:hAnsi="Times New Roman" w:eastAsia="Times New Roman" w:cs="Times New Roman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°E</w:t>
            </w:r>
            <w:r>
              <w:rPr>
                <w:spacing w:val="13"/>
              </w:rPr>
              <w:t>）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/</w:t>
            </w:r>
            <w:r>
              <w:rPr>
                <w:rFonts w:ascii="Times New Roman" w:hAnsi="Times New Roman" w:eastAsia="Times New Roman" w:cs="Times New Roman"/>
              </w:rPr>
              <w:t>NGSO</w:t>
            </w:r>
            <w:r>
              <w:rPr>
                <w:rFonts w:ascii="Times New Roman" w:hAnsi="Times New Roman" w:eastAsia="Times New Roman" w:cs="Times New Roman"/>
                <w:spacing w:val="27"/>
              </w:rPr>
              <w:t xml:space="preserve"> </w:t>
            </w:r>
            <w:r>
              <w:rPr>
                <w:spacing w:val="13"/>
              </w:rPr>
              <w:t>示例：</w:t>
            </w:r>
            <w:r>
              <w:rPr>
                <w:rFonts w:ascii="Times New Roman" w:hAnsi="Times New Roman" w:eastAsia="Times New Roman" w:cs="Times New Roman"/>
              </w:rPr>
              <w:t>XX</w:t>
            </w:r>
            <w:r>
              <w:rPr>
                <w:spacing w:val="13"/>
              </w:rPr>
              <w:t>（</w:t>
            </w:r>
            <w:r>
              <w:rPr>
                <w:rFonts w:ascii="Times New Roman" w:hAnsi="Times New Roman" w:eastAsia="Times New Roman" w:cs="Times New Roman"/>
              </w:rPr>
              <w:t>NGSO</w:t>
            </w:r>
            <w:r>
              <w:rPr>
                <w:spacing w:val="13"/>
              </w:rPr>
              <w:t>）</w:t>
            </w:r>
          </w:p>
        </w:tc>
      </w:tr>
      <w:tr w14:paraId="180085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330" w:type="dxa"/>
            <w:gridSpan w:val="2"/>
            <w:vAlign w:val="top"/>
          </w:tcPr>
          <w:p w14:paraId="49BB3FE3">
            <w:pPr>
              <w:pStyle w:val="6"/>
              <w:spacing w:before="53" w:line="223" w:lineRule="auto"/>
              <w:ind w:left="545"/>
            </w:pPr>
            <w:r>
              <w:rPr>
                <w:spacing w:val="7"/>
              </w:rPr>
              <w:t>卫星操作单位</w:t>
            </w:r>
          </w:p>
        </w:tc>
        <w:tc>
          <w:tcPr>
            <w:tcW w:w="11798" w:type="dxa"/>
            <w:gridSpan w:val="8"/>
            <w:vAlign w:val="top"/>
          </w:tcPr>
          <w:p w14:paraId="3481A760">
            <w:pPr>
              <w:pStyle w:val="6"/>
              <w:spacing w:before="53" w:line="226" w:lineRule="auto"/>
              <w:ind w:left="5214"/>
            </w:pPr>
            <w:r>
              <w:rPr>
                <w:spacing w:val="6"/>
              </w:rPr>
              <w:t>示例：</w:t>
            </w:r>
            <w:r>
              <w:rPr>
                <w:rFonts w:ascii="Times New Roman" w:hAnsi="Times New Roman" w:eastAsia="Times New Roman" w:cs="Times New Roman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</w:t>
            </w:r>
            <w:r>
              <w:rPr>
                <w:spacing w:val="6"/>
              </w:rPr>
              <w:t>公司</w:t>
            </w:r>
          </w:p>
        </w:tc>
      </w:tr>
      <w:tr w14:paraId="15FDB4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330" w:type="dxa"/>
            <w:gridSpan w:val="2"/>
            <w:vAlign w:val="top"/>
          </w:tcPr>
          <w:p w14:paraId="56966DBB">
            <w:pPr>
              <w:pStyle w:val="6"/>
              <w:spacing w:before="52" w:line="226" w:lineRule="auto"/>
              <w:ind w:left="759"/>
            </w:pPr>
            <w:r>
              <w:rPr>
                <w:spacing w:val="5"/>
              </w:rPr>
              <w:t>星座构型</w:t>
            </w:r>
          </w:p>
        </w:tc>
        <w:tc>
          <w:tcPr>
            <w:tcW w:w="11798" w:type="dxa"/>
            <w:gridSpan w:val="8"/>
            <w:vAlign w:val="top"/>
          </w:tcPr>
          <w:p w14:paraId="31AF6D07">
            <w:pPr>
              <w:pStyle w:val="6"/>
              <w:spacing w:before="52" w:line="225" w:lineRule="auto"/>
              <w:ind w:left="2834"/>
            </w:pPr>
            <w:r>
              <w:rPr>
                <w:spacing w:val="9"/>
              </w:rPr>
              <w:t>仅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NGSO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9"/>
              </w:rPr>
              <w:t>卫星网络填写，包括轨道面组成、轨道倾角、轨道高度。</w:t>
            </w:r>
          </w:p>
        </w:tc>
      </w:tr>
      <w:tr w14:paraId="5E3F79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330" w:type="dxa"/>
            <w:gridSpan w:val="2"/>
            <w:vAlign w:val="top"/>
          </w:tcPr>
          <w:p w14:paraId="4D896C7C">
            <w:pPr>
              <w:pStyle w:val="6"/>
              <w:spacing w:before="52" w:line="226" w:lineRule="auto"/>
              <w:ind w:left="759"/>
            </w:pPr>
            <w:r>
              <w:rPr>
                <w:spacing w:val="5"/>
              </w:rPr>
              <w:t>受理日期</w:t>
            </w:r>
          </w:p>
        </w:tc>
        <w:tc>
          <w:tcPr>
            <w:tcW w:w="4357" w:type="dxa"/>
            <w:gridSpan w:val="3"/>
            <w:vAlign w:val="top"/>
          </w:tcPr>
          <w:p w14:paraId="71F51742">
            <w:pPr>
              <w:pStyle w:val="6"/>
              <w:spacing w:before="52" w:line="226" w:lineRule="auto"/>
              <w:ind w:left="1410"/>
              <w:rPr>
                <w:rFonts w:ascii="Times New Roman" w:hAnsi="Times New Roman" w:eastAsia="Times New Roman" w:cs="Times New Roman"/>
              </w:rPr>
            </w:pPr>
            <w:r>
              <w:rPr>
                <w:spacing w:val="3"/>
              </w:rPr>
              <w:t>示例：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2025.05.01</w:t>
            </w:r>
          </w:p>
        </w:tc>
        <w:tc>
          <w:tcPr>
            <w:tcW w:w="2488" w:type="dxa"/>
            <w:gridSpan w:val="2"/>
            <w:vAlign w:val="top"/>
          </w:tcPr>
          <w:p w14:paraId="4107204D">
            <w:pPr>
              <w:pStyle w:val="6"/>
              <w:spacing w:before="52" w:line="225" w:lineRule="auto"/>
              <w:ind w:left="836"/>
            </w:pPr>
            <w:r>
              <w:rPr>
                <w:spacing w:val="5"/>
              </w:rPr>
              <w:t>报送日期</w:t>
            </w:r>
          </w:p>
        </w:tc>
        <w:tc>
          <w:tcPr>
            <w:tcW w:w="4953" w:type="dxa"/>
            <w:gridSpan w:val="3"/>
            <w:vAlign w:val="top"/>
          </w:tcPr>
          <w:p w14:paraId="177020ED">
            <w:pPr>
              <w:pStyle w:val="6"/>
              <w:spacing w:before="52" w:line="226" w:lineRule="auto"/>
              <w:ind w:left="1707"/>
              <w:rPr>
                <w:rFonts w:ascii="Times New Roman" w:hAnsi="Times New Roman" w:eastAsia="Times New Roman" w:cs="Times New Roman"/>
              </w:rPr>
            </w:pPr>
            <w:r>
              <w:rPr>
                <w:spacing w:val="3"/>
              </w:rPr>
              <w:t>示例：</w:t>
            </w:r>
            <w:r>
              <w:rPr>
                <w:rFonts w:ascii="Times New Roman" w:hAnsi="Times New Roman" w:eastAsia="Times New Roman" w:cs="Times New Roman"/>
                <w:spacing w:val="3"/>
              </w:rPr>
              <w:t>2025.07.01</w:t>
            </w:r>
          </w:p>
        </w:tc>
      </w:tr>
      <w:tr w14:paraId="45D4A8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4128" w:type="dxa"/>
            <w:gridSpan w:val="10"/>
            <w:vAlign w:val="top"/>
          </w:tcPr>
          <w:p w14:paraId="3989719E">
            <w:pPr>
              <w:pStyle w:val="6"/>
              <w:spacing w:before="54" w:line="225" w:lineRule="auto"/>
              <w:ind w:left="6245"/>
            </w:pPr>
            <w:r>
              <w:rPr>
                <w:b/>
                <w:bCs/>
                <w:spacing w:val="5"/>
              </w:rPr>
              <w:t>空间业务协调列表</w:t>
            </w:r>
          </w:p>
        </w:tc>
      </w:tr>
      <w:tr w14:paraId="05D010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22" w:type="dxa"/>
            <w:vAlign w:val="top"/>
          </w:tcPr>
          <w:p w14:paraId="4C3BE26E">
            <w:pPr>
              <w:pStyle w:val="6"/>
              <w:spacing w:before="210" w:line="226" w:lineRule="auto"/>
              <w:ind w:left="318"/>
            </w:pPr>
            <w:r>
              <w:rPr>
                <w:spacing w:val="-1"/>
              </w:rPr>
              <w:t>频段</w:t>
            </w:r>
          </w:p>
        </w:tc>
        <w:tc>
          <w:tcPr>
            <w:tcW w:w="1308" w:type="dxa"/>
            <w:vAlign w:val="top"/>
          </w:tcPr>
          <w:p w14:paraId="6B6438B4">
            <w:pPr>
              <w:pStyle w:val="6"/>
              <w:spacing w:before="210" w:line="226" w:lineRule="auto"/>
              <w:ind w:right="7"/>
              <w:jc w:val="right"/>
            </w:pPr>
            <w:r>
              <w:rPr>
                <w:spacing w:val="-6"/>
              </w:rPr>
              <w:t>频率（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MHz</w:t>
            </w:r>
            <w:r>
              <w:rPr>
                <w:spacing w:val="-6"/>
              </w:rPr>
              <w:t>）</w:t>
            </w:r>
          </w:p>
        </w:tc>
        <w:tc>
          <w:tcPr>
            <w:tcW w:w="1024" w:type="dxa"/>
            <w:vAlign w:val="top"/>
          </w:tcPr>
          <w:p w14:paraId="42483956">
            <w:pPr>
              <w:pStyle w:val="6"/>
              <w:spacing w:before="209" w:line="228" w:lineRule="auto"/>
              <w:ind w:left="308"/>
            </w:pPr>
            <w:r>
              <w:rPr>
                <w:spacing w:val="3"/>
              </w:rPr>
              <w:t>方向</w:t>
            </w:r>
          </w:p>
        </w:tc>
        <w:tc>
          <w:tcPr>
            <w:tcW w:w="1555" w:type="dxa"/>
            <w:vAlign w:val="top"/>
          </w:tcPr>
          <w:p w14:paraId="3A627F03">
            <w:pPr>
              <w:pStyle w:val="6"/>
              <w:spacing w:before="210" w:line="226" w:lineRule="auto"/>
              <w:ind w:left="167"/>
            </w:pPr>
            <w:r>
              <w:rPr>
                <w:spacing w:val="5"/>
              </w:rPr>
              <w:t>空间业务类型</w:t>
            </w:r>
          </w:p>
        </w:tc>
        <w:tc>
          <w:tcPr>
            <w:tcW w:w="2351" w:type="dxa"/>
            <w:gridSpan w:val="2"/>
            <w:vAlign w:val="top"/>
          </w:tcPr>
          <w:p w14:paraId="0A6CFDF1">
            <w:pPr>
              <w:pStyle w:val="6"/>
              <w:spacing w:before="210" w:line="223" w:lineRule="auto"/>
              <w:ind w:left="139"/>
            </w:pPr>
            <w:r>
              <w:rPr>
                <w:spacing w:val="8"/>
              </w:rPr>
              <w:t>受影响的卫星操作单位</w:t>
            </w:r>
          </w:p>
        </w:tc>
        <w:tc>
          <w:tcPr>
            <w:tcW w:w="3071" w:type="dxa"/>
            <w:gridSpan w:val="2"/>
            <w:vAlign w:val="top"/>
          </w:tcPr>
          <w:p w14:paraId="0C47C7D2">
            <w:pPr>
              <w:pStyle w:val="6"/>
              <w:spacing w:before="53" w:line="225" w:lineRule="auto"/>
              <w:ind w:left="711"/>
            </w:pPr>
            <w:r>
              <w:rPr>
                <w:spacing w:val="7"/>
              </w:rPr>
              <w:t>受影响的卫星网络</w:t>
            </w:r>
          </w:p>
          <w:p w14:paraId="75DE9846">
            <w:pPr>
              <w:pStyle w:val="6"/>
              <w:spacing w:before="68" w:line="225" w:lineRule="auto"/>
              <w:ind w:left="123"/>
            </w:pPr>
            <w:r>
              <w:rPr>
                <w:spacing w:val="12"/>
              </w:rPr>
              <w:t>（</w:t>
            </w:r>
            <w:r>
              <w:rPr>
                <w:rFonts w:ascii="Times New Roman" w:hAnsi="Times New Roman" w:eastAsia="Times New Roman" w:cs="Times New Roman"/>
              </w:rPr>
              <w:t>GSO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12"/>
              </w:rPr>
              <w:t>轨位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/</w:t>
            </w:r>
            <w:r>
              <w:rPr>
                <w:rFonts w:ascii="Times New Roman" w:hAnsi="Times New Roman" w:eastAsia="Times New Roman" w:cs="Times New Roman"/>
              </w:rPr>
              <w:t>NGSO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12"/>
              </w:rPr>
              <w:t>轨道高度）</w:t>
            </w:r>
          </w:p>
        </w:tc>
        <w:tc>
          <w:tcPr>
            <w:tcW w:w="1904" w:type="dxa"/>
            <w:vAlign w:val="top"/>
          </w:tcPr>
          <w:p w14:paraId="7B1E96D8">
            <w:pPr>
              <w:pStyle w:val="6"/>
              <w:spacing w:before="210" w:line="226" w:lineRule="auto"/>
              <w:ind w:left="444"/>
            </w:pPr>
            <w:r>
              <w:rPr>
                <w:spacing w:val="6"/>
              </w:rPr>
              <w:t>受影响原因</w:t>
            </w:r>
          </w:p>
        </w:tc>
        <w:tc>
          <w:tcPr>
            <w:tcW w:w="1893" w:type="dxa"/>
            <w:vAlign w:val="top"/>
          </w:tcPr>
          <w:p w14:paraId="6DBE96D9">
            <w:pPr>
              <w:pStyle w:val="6"/>
              <w:spacing w:before="210" w:line="225" w:lineRule="auto"/>
              <w:ind w:left="326"/>
            </w:pPr>
            <w:r>
              <w:rPr>
                <w:spacing w:val="7"/>
              </w:rPr>
              <w:t>协调完成状态</w:t>
            </w:r>
          </w:p>
        </w:tc>
      </w:tr>
      <w:tr w14:paraId="78D46D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40713988">
            <w:pPr>
              <w:spacing w:line="459" w:lineRule="auto"/>
              <w:rPr>
                <w:rFonts w:ascii="Arial"/>
                <w:sz w:val="21"/>
              </w:rPr>
            </w:pPr>
          </w:p>
          <w:p w14:paraId="068190C4">
            <w:pPr>
              <w:pStyle w:val="6"/>
              <w:spacing w:before="65" w:line="226" w:lineRule="auto"/>
              <w:ind w:left="140"/>
              <w:rPr>
                <w:rFonts w:ascii="Times New Roman" w:hAnsi="Times New Roman" w:eastAsia="Times New Roman" w:cs="Times New Roman"/>
              </w:rPr>
            </w:pPr>
            <w:r>
              <w:rPr>
                <w:spacing w:val="3"/>
              </w:rPr>
              <w:t>示例：</w:t>
            </w:r>
            <w:r>
              <w:rPr>
                <w:rFonts w:ascii="Times New Roman" w:hAnsi="Times New Roman" w:eastAsia="Times New Roman" w:cs="Times New Roman"/>
                <w:spacing w:val="3"/>
              </w:rPr>
              <w:t>X</w:t>
            </w:r>
          </w:p>
        </w:tc>
        <w:tc>
          <w:tcPr>
            <w:tcW w:w="1308" w:type="dxa"/>
            <w:vMerge w:val="restart"/>
            <w:tcBorders>
              <w:bottom w:val="nil"/>
            </w:tcBorders>
            <w:vAlign w:val="top"/>
          </w:tcPr>
          <w:p w14:paraId="44B0C87C">
            <w:pPr>
              <w:spacing w:line="250" w:lineRule="auto"/>
              <w:rPr>
                <w:rFonts w:ascii="Arial"/>
                <w:sz w:val="21"/>
              </w:rPr>
            </w:pPr>
          </w:p>
          <w:p w14:paraId="203531D8">
            <w:pPr>
              <w:spacing w:line="251" w:lineRule="auto"/>
              <w:rPr>
                <w:rFonts w:ascii="Arial"/>
                <w:sz w:val="21"/>
              </w:rPr>
            </w:pPr>
          </w:p>
          <w:p w14:paraId="4295EED9">
            <w:pPr>
              <w:spacing w:before="58" w:line="195" w:lineRule="auto"/>
              <w:ind w:left="2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8025-8400</w:t>
            </w:r>
          </w:p>
        </w:tc>
        <w:tc>
          <w:tcPr>
            <w:tcW w:w="1024" w:type="dxa"/>
            <w:vMerge w:val="restart"/>
            <w:tcBorders>
              <w:bottom w:val="nil"/>
            </w:tcBorders>
            <w:vAlign w:val="top"/>
          </w:tcPr>
          <w:p w14:paraId="4069FD8C">
            <w:pPr>
              <w:spacing w:line="305" w:lineRule="auto"/>
              <w:rPr>
                <w:rFonts w:ascii="Arial"/>
                <w:sz w:val="21"/>
              </w:rPr>
            </w:pPr>
          </w:p>
          <w:p w14:paraId="7004CC1A">
            <w:pPr>
              <w:pStyle w:val="6"/>
              <w:spacing w:before="65" w:line="273" w:lineRule="auto"/>
              <w:ind w:left="216" w:right="166" w:hanging="45"/>
            </w:pPr>
            <w:r>
              <w:rPr>
                <w:spacing w:val="6"/>
              </w:rPr>
              <w:t>地对空</w:t>
            </w:r>
            <w:r>
              <w:rPr>
                <w:rFonts w:ascii="Times New Roman" w:hAnsi="Times New Roman" w:eastAsia="Times New Roman" w:cs="Times New Roman"/>
                <w:spacing w:val="6"/>
              </w:rPr>
              <w:t>/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1"/>
              </w:rPr>
              <w:t>空对地</w:t>
            </w:r>
          </w:p>
        </w:tc>
        <w:tc>
          <w:tcPr>
            <w:tcW w:w="1555" w:type="dxa"/>
            <w:vMerge w:val="restart"/>
            <w:tcBorders>
              <w:bottom w:val="nil"/>
            </w:tcBorders>
            <w:vAlign w:val="top"/>
          </w:tcPr>
          <w:p w14:paraId="2E633C38">
            <w:pPr>
              <w:spacing w:line="304" w:lineRule="auto"/>
              <w:rPr>
                <w:rFonts w:ascii="Arial"/>
                <w:sz w:val="21"/>
              </w:rPr>
            </w:pPr>
          </w:p>
          <w:p w14:paraId="244C0FFC">
            <w:pPr>
              <w:pStyle w:val="6"/>
              <w:spacing w:before="65" w:line="273" w:lineRule="auto"/>
              <w:ind w:left="375" w:right="148" w:hanging="218"/>
            </w:pPr>
            <w:r>
              <w:rPr>
                <w:spacing w:val="7"/>
              </w:rPr>
              <w:t>卫星地球探测</w:t>
            </w:r>
            <w:r>
              <w:t xml:space="preserve"> </w:t>
            </w:r>
            <w:r>
              <w:rPr>
                <w:spacing w:val="3"/>
              </w:rPr>
              <w:t>空间遥测</w:t>
            </w:r>
          </w:p>
        </w:tc>
        <w:tc>
          <w:tcPr>
            <w:tcW w:w="2351" w:type="dxa"/>
            <w:gridSpan w:val="2"/>
            <w:vAlign w:val="top"/>
          </w:tcPr>
          <w:p w14:paraId="4C9D10D3">
            <w:pPr>
              <w:pStyle w:val="6"/>
              <w:spacing w:before="210" w:line="223" w:lineRule="auto"/>
              <w:ind w:left="441"/>
            </w:pPr>
            <w:r>
              <w:rPr>
                <w:rFonts w:ascii="Times New Roman" w:hAnsi="Times New Roman" w:eastAsia="Times New Roman" w:cs="Times New Roman"/>
                <w:spacing w:val="6"/>
              </w:rPr>
              <w:t>××</w:t>
            </w:r>
            <w:r>
              <w:rPr>
                <w:spacing w:val="6"/>
              </w:rPr>
              <w:t>卫星操作单位</w:t>
            </w:r>
          </w:p>
        </w:tc>
        <w:tc>
          <w:tcPr>
            <w:tcW w:w="3071" w:type="dxa"/>
            <w:gridSpan w:val="2"/>
            <w:vAlign w:val="top"/>
          </w:tcPr>
          <w:p w14:paraId="0637DD64">
            <w:pPr>
              <w:pStyle w:val="6"/>
              <w:spacing w:before="54" w:line="226" w:lineRule="auto"/>
              <w:ind w:left="128"/>
            </w:pPr>
            <w:r>
              <w:rPr>
                <w:spacing w:val="8"/>
              </w:rPr>
              <w:t>示例：</w:t>
            </w:r>
            <w:r>
              <w:rPr>
                <w:rFonts w:ascii="Times New Roman" w:hAnsi="Times New Roman" w:eastAsia="Times New Roman" w:cs="Times New Roman"/>
              </w:rPr>
              <w:t>XX</w:t>
            </w:r>
            <w:r>
              <w:rPr>
                <w:spacing w:val="8"/>
              </w:rPr>
              <w:t>（</w:t>
            </w:r>
            <w:r>
              <w:rPr>
                <w:rFonts w:ascii="Times New Roman" w:hAnsi="Times New Roman" w:eastAsia="Times New Roman" w:cs="Times New Roman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8"/>
              </w:rPr>
              <w:t>°E</w:t>
            </w:r>
            <w:r>
              <w:rPr>
                <w:spacing w:val="8"/>
              </w:rPr>
              <w:t>）</w:t>
            </w:r>
          </w:p>
          <w:p w14:paraId="07CDCEDD">
            <w:pPr>
              <w:spacing w:before="225" w:line="63" w:lineRule="exact"/>
              <w:ind w:left="145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…</w:t>
            </w:r>
          </w:p>
        </w:tc>
        <w:tc>
          <w:tcPr>
            <w:tcW w:w="1904" w:type="dxa"/>
            <w:vAlign w:val="top"/>
          </w:tcPr>
          <w:p w14:paraId="13A43FCB">
            <w:pPr>
              <w:pStyle w:val="6"/>
              <w:spacing w:before="210" w:line="226" w:lineRule="auto"/>
              <w:ind w:left="552"/>
            </w:pPr>
            <w:r>
              <w:rPr>
                <w:spacing w:val="4"/>
              </w:rPr>
              <w:t>频率重叠</w:t>
            </w:r>
          </w:p>
        </w:tc>
        <w:tc>
          <w:tcPr>
            <w:tcW w:w="1893" w:type="dxa"/>
            <w:vAlign w:val="top"/>
          </w:tcPr>
          <w:p w14:paraId="7012602A">
            <w:pPr>
              <w:rPr>
                <w:rFonts w:ascii="Arial"/>
                <w:sz w:val="21"/>
              </w:rPr>
            </w:pPr>
          </w:p>
        </w:tc>
      </w:tr>
      <w:tr w14:paraId="75809A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6FAFFEAA"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Merge w:val="continue"/>
            <w:tcBorders>
              <w:top w:val="nil"/>
            </w:tcBorders>
            <w:vAlign w:val="top"/>
          </w:tcPr>
          <w:p w14:paraId="57F3CB7D"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 w14:paraId="3EF4329E"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Merge w:val="continue"/>
            <w:tcBorders>
              <w:top w:val="nil"/>
            </w:tcBorders>
            <w:vAlign w:val="top"/>
          </w:tcPr>
          <w:p w14:paraId="279D4FE0">
            <w:pPr>
              <w:rPr>
                <w:rFonts w:ascii="Arial"/>
                <w:sz w:val="21"/>
              </w:rPr>
            </w:pPr>
          </w:p>
        </w:tc>
        <w:tc>
          <w:tcPr>
            <w:tcW w:w="2351" w:type="dxa"/>
            <w:gridSpan w:val="2"/>
            <w:vAlign w:val="top"/>
          </w:tcPr>
          <w:p w14:paraId="5A15BE7F">
            <w:pPr>
              <w:pStyle w:val="6"/>
              <w:spacing w:before="211" w:line="223" w:lineRule="auto"/>
              <w:ind w:left="441"/>
            </w:pPr>
            <w:r>
              <w:rPr>
                <w:rFonts w:ascii="Times New Roman" w:hAnsi="Times New Roman" w:eastAsia="Times New Roman" w:cs="Times New Roman"/>
                <w:spacing w:val="6"/>
              </w:rPr>
              <w:t>××</w:t>
            </w:r>
            <w:r>
              <w:rPr>
                <w:spacing w:val="6"/>
              </w:rPr>
              <w:t>卫星操作单位</w:t>
            </w:r>
          </w:p>
        </w:tc>
        <w:tc>
          <w:tcPr>
            <w:tcW w:w="3071" w:type="dxa"/>
            <w:gridSpan w:val="2"/>
            <w:vAlign w:val="top"/>
          </w:tcPr>
          <w:p w14:paraId="24DE2040">
            <w:pPr>
              <w:pStyle w:val="6"/>
              <w:spacing w:before="55" w:line="226" w:lineRule="auto"/>
              <w:ind w:left="128"/>
            </w:pPr>
            <w:r>
              <w:rPr>
                <w:spacing w:val="2"/>
              </w:rPr>
              <w:t>示例：</w:t>
            </w:r>
            <w:r>
              <w:rPr>
                <w:rFonts w:ascii="Times New Roman" w:hAnsi="Times New Roman" w:eastAsia="Times New Roman" w:cs="Times New Roman"/>
              </w:rPr>
              <w:t>XX</w:t>
            </w:r>
            <w:r>
              <w:rPr>
                <w:spacing w:val="2"/>
              </w:rPr>
              <w:t>（</w:t>
            </w:r>
            <w:r>
              <w:rPr>
                <w:spacing w:val="-5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500 </w:t>
            </w:r>
            <w:r>
              <w:rPr>
                <w:rFonts w:ascii="Times New Roman" w:hAnsi="Times New Roman" w:eastAsia="Times New Roman" w:cs="Times New Roman"/>
              </w:rPr>
              <w:t>km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2"/>
              </w:rPr>
              <w:t>）</w:t>
            </w:r>
          </w:p>
          <w:p w14:paraId="1948620C">
            <w:pPr>
              <w:spacing w:before="225" w:line="63" w:lineRule="exact"/>
              <w:ind w:left="145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…</w:t>
            </w:r>
          </w:p>
        </w:tc>
        <w:tc>
          <w:tcPr>
            <w:tcW w:w="1904" w:type="dxa"/>
            <w:vAlign w:val="top"/>
          </w:tcPr>
          <w:p w14:paraId="0125D61E">
            <w:pPr>
              <w:pStyle w:val="6"/>
              <w:spacing w:before="211" w:line="226" w:lineRule="auto"/>
              <w:ind w:left="552"/>
            </w:pPr>
            <w:r>
              <w:rPr>
                <w:spacing w:val="4"/>
              </w:rPr>
              <w:t>频率重叠</w:t>
            </w:r>
          </w:p>
        </w:tc>
        <w:tc>
          <w:tcPr>
            <w:tcW w:w="1893" w:type="dxa"/>
            <w:vAlign w:val="top"/>
          </w:tcPr>
          <w:p w14:paraId="1AA4931D">
            <w:pPr>
              <w:rPr>
                <w:rFonts w:ascii="Arial"/>
                <w:sz w:val="21"/>
              </w:rPr>
            </w:pPr>
          </w:p>
        </w:tc>
      </w:tr>
      <w:tr w14:paraId="217168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22" w:type="dxa"/>
            <w:vAlign w:val="top"/>
          </w:tcPr>
          <w:p w14:paraId="070CF8A0">
            <w:pPr>
              <w:pStyle w:val="6"/>
              <w:spacing w:before="55" w:line="228" w:lineRule="auto"/>
              <w:ind w:left="309"/>
            </w:pPr>
            <w:r>
              <w:rPr>
                <w:b/>
                <w:bCs/>
                <w:spacing w:val="2"/>
              </w:rPr>
              <w:t>备注</w:t>
            </w:r>
          </w:p>
        </w:tc>
        <w:tc>
          <w:tcPr>
            <w:tcW w:w="13106" w:type="dxa"/>
            <w:gridSpan w:val="9"/>
            <w:vAlign w:val="top"/>
          </w:tcPr>
          <w:p w14:paraId="067F9C21">
            <w:pPr>
              <w:rPr>
                <w:rFonts w:ascii="Arial"/>
                <w:sz w:val="21"/>
              </w:rPr>
            </w:pPr>
          </w:p>
        </w:tc>
      </w:tr>
      <w:tr w14:paraId="23FB8F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4128" w:type="dxa"/>
            <w:gridSpan w:val="10"/>
            <w:vAlign w:val="top"/>
          </w:tcPr>
          <w:p w14:paraId="775E89F0">
            <w:pPr>
              <w:pStyle w:val="6"/>
              <w:spacing w:before="55" w:line="225" w:lineRule="auto"/>
              <w:ind w:left="6228"/>
            </w:pPr>
            <w:r>
              <w:rPr>
                <w:b/>
                <w:bCs/>
                <w:spacing w:val="7"/>
              </w:rPr>
              <w:t>地面业务协调列表</w:t>
            </w:r>
          </w:p>
        </w:tc>
      </w:tr>
      <w:tr w14:paraId="6755EC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22" w:type="dxa"/>
            <w:vAlign w:val="top"/>
          </w:tcPr>
          <w:p w14:paraId="53B9590C">
            <w:pPr>
              <w:pStyle w:val="6"/>
              <w:spacing w:before="213" w:line="226" w:lineRule="auto"/>
              <w:ind w:left="318"/>
            </w:pPr>
            <w:r>
              <w:rPr>
                <w:spacing w:val="-1"/>
              </w:rPr>
              <w:t>频段</w:t>
            </w:r>
          </w:p>
        </w:tc>
        <w:tc>
          <w:tcPr>
            <w:tcW w:w="1308" w:type="dxa"/>
            <w:vAlign w:val="top"/>
          </w:tcPr>
          <w:p w14:paraId="218D753F">
            <w:pPr>
              <w:pStyle w:val="6"/>
              <w:spacing w:before="213" w:line="226" w:lineRule="auto"/>
              <w:ind w:right="7"/>
              <w:jc w:val="right"/>
            </w:pPr>
            <w:r>
              <w:rPr>
                <w:spacing w:val="-6"/>
              </w:rPr>
              <w:t>频率（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MHz</w:t>
            </w:r>
            <w:r>
              <w:rPr>
                <w:spacing w:val="-6"/>
              </w:rPr>
              <w:t>）</w:t>
            </w:r>
          </w:p>
        </w:tc>
        <w:tc>
          <w:tcPr>
            <w:tcW w:w="1024" w:type="dxa"/>
            <w:vAlign w:val="top"/>
          </w:tcPr>
          <w:p w14:paraId="6E91DBB1">
            <w:pPr>
              <w:pStyle w:val="6"/>
              <w:spacing w:before="212" w:line="228" w:lineRule="auto"/>
              <w:ind w:left="308"/>
            </w:pPr>
            <w:r>
              <w:rPr>
                <w:spacing w:val="3"/>
              </w:rPr>
              <w:t>方向</w:t>
            </w:r>
          </w:p>
        </w:tc>
        <w:tc>
          <w:tcPr>
            <w:tcW w:w="1555" w:type="dxa"/>
            <w:vAlign w:val="top"/>
          </w:tcPr>
          <w:p w14:paraId="54508C78">
            <w:pPr>
              <w:pStyle w:val="6"/>
              <w:spacing w:before="213" w:line="226" w:lineRule="auto"/>
              <w:ind w:left="167"/>
            </w:pPr>
            <w:r>
              <w:rPr>
                <w:spacing w:val="5"/>
              </w:rPr>
              <w:t>空间业务类型</w:t>
            </w:r>
          </w:p>
        </w:tc>
        <w:tc>
          <w:tcPr>
            <w:tcW w:w="2351" w:type="dxa"/>
            <w:gridSpan w:val="2"/>
            <w:vAlign w:val="top"/>
          </w:tcPr>
          <w:p w14:paraId="0AEA6392">
            <w:pPr>
              <w:pStyle w:val="6"/>
              <w:spacing w:before="56" w:line="259" w:lineRule="auto"/>
              <w:ind w:left="761" w:right="334" w:hanging="411"/>
            </w:pPr>
            <w:r>
              <w:rPr>
                <w:spacing w:val="7"/>
              </w:rPr>
              <w:t>受影响的地面业务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用户单位</w:t>
            </w:r>
          </w:p>
        </w:tc>
        <w:tc>
          <w:tcPr>
            <w:tcW w:w="3071" w:type="dxa"/>
            <w:gridSpan w:val="2"/>
            <w:vAlign w:val="top"/>
          </w:tcPr>
          <w:p w14:paraId="19A9E5D3">
            <w:pPr>
              <w:pStyle w:val="6"/>
              <w:spacing w:before="213" w:line="224" w:lineRule="auto"/>
              <w:ind w:left="471"/>
            </w:pPr>
            <w:r>
              <w:rPr>
                <w:spacing w:val="7"/>
              </w:rPr>
              <w:t>受影响的地面业务</w:t>
            </w:r>
            <w:r>
              <w:rPr>
                <w:rFonts w:ascii="Times New Roman" w:hAnsi="Times New Roman" w:eastAsia="Times New Roman" w:cs="Times New Roman"/>
                <w:spacing w:val="7"/>
              </w:rPr>
              <w:t>/</w:t>
            </w:r>
            <w:r>
              <w:rPr>
                <w:spacing w:val="7"/>
              </w:rPr>
              <w:t>台站</w:t>
            </w:r>
          </w:p>
        </w:tc>
        <w:tc>
          <w:tcPr>
            <w:tcW w:w="1904" w:type="dxa"/>
            <w:vAlign w:val="top"/>
          </w:tcPr>
          <w:p w14:paraId="0A99FBC4">
            <w:pPr>
              <w:pStyle w:val="6"/>
              <w:spacing w:before="213" w:line="226" w:lineRule="auto"/>
              <w:ind w:left="441"/>
            </w:pPr>
            <w:r>
              <w:rPr>
                <w:spacing w:val="6"/>
              </w:rPr>
              <w:t>受影响原因</w:t>
            </w:r>
          </w:p>
        </w:tc>
        <w:tc>
          <w:tcPr>
            <w:tcW w:w="1893" w:type="dxa"/>
            <w:vAlign w:val="top"/>
          </w:tcPr>
          <w:p w14:paraId="2FCCC42E">
            <w:pPr>
              <w:pStyle w:val="6"/>
              <w:spacing w:before="213" w:line="225" w:lineRule="auto"/>
              <w:ind w:left="324"/>
            </w:pPr>
            <w:r>
              <w:rPr>
                <w:spacing w:val="7"/>
              </w:rPr>
              <w:t>协调完成状态</w:t>
            </w:r>
          </w:p>
        </w:tc>
      </w:tr>
      <w:tr w14:paraId="786022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022" w:type="dxa"/>
            <w:vAlign w:val="top"/>
          </w:tcPr>
          <w:p w14:paraId="09815555">
            <w:pPr>
              <w:pStyle w:val="6"/>
              <w:spacing w:before="197" w:line="226" w:lineRule="auto"/>
              <w:ind w:left="152"/>
              <w:rPr>
                <w:rFonts w:ascii="Times New Roman" w:hAnsi="Times New Roman" w:eastAsia="Times New Roman" w:cs="Times New Roman"/>
              </w:rPr>
            </w:pPr>
            <w:r>
              <w:rPr>
                <w:spacing w:val="3"/>
              </w:rPr>
              <w:t>示例：</w:t>
            </w:r>
            <w:r>
              <w:rPr>
                <w:rFonts w:ascii="Times New Roman" w:hAnsi="Times New Roman" w:eastAsia="Times New Roman" w:cs="Times New Roman"/>
                <w:spacing w:val="3"/>
              </w:rPr>
              <w:t>L</w:t>
            </w:r>
          </w:p>
        </w:tc>
        <w:tc>
          <w:tcPr>
            <w:tcW w:w="1308" w:type="dxa"/>
            <w:vAlign w:val="top"/>
          </w:tcPr>
          <w:p w14:paraId="1382DD81">
            <w:pPr>
              <w:spacing w:before="232" w:line="195" w:lineRule="auto"/>
              <w:ind w:left="21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1668-1675</w:t>
            </w:r>
          </w:p>
        </w:tc>
        <w:tc>
          <w:tcPr>
            <w:tcW w:w="1024" w:type="dxa"/>
            <w:vAlign w:val="top"/>
          </w:tcPr>
          <w:p w14:paraId="306121EA">
            <w:pPr>
              <w:pStyle w:val="6"/>
              <w:spacing w:before="196" w:line="227" w:lineRule="auto"/>
              <w:ind w:left="200"/>
            </w:pPr>
            <w:r>
              <w:rPr>
                <w:spacing w:val="7"/>
              </w:rPr>
              <w:t>地对空</w:t>
            </w:r>
          </w:p>
        </w:tc>
        <w:tc>
          <w:tcPr>
            <w:tcW w:w="1555" w:type="dxa"/>
            <w:vAlign w:val="top"/>
          </w:tcPr>
          <w:p w14:paraId="22430FF0">
            <w:pPr>
              <w:pStyle w:val="6"/>
              <w:spacing w:before="197" w:line="226" w:lineRule="auto"/>
              <w:ind w:left="366"/>
            </w:pPr>
            <w:r>
              <w:rPr>
                <w:spacing w:val="5"/>
              </w:rPr>
              <w:t>卫星移动</w:t>
            </w:r>
          </w:p>
        </w:tc>
        <w:tc>
          <w:tcPr>
            <w:tcW w:w="2351" w:type="dxa"/>
            <w:gridSpan w:val="2"/>
            <w:vAlign w:val="top"/>
          </w:tcPr>
          <w:p w14:paraId="4C81B26F">
            <w:pPr>
              <w:pStyle w:val="6"/>
              <w:spacing w:before="197" w:line="224" w:lineRule="auto"/>
              <w:ind w:left="650"/>
            </w:pPr>
            <w:r>
              <w:rPr>
                <w:rFonts w:ascii="Times New Roman" w:hAnsi="Times New Roman" w:eastAsia="Times New Roman" w:cs="Times New Roman"/>
                <w:spacing w:val="5"/>
              </w:rPr>
              <w:t>××</w:t>
            </w:r>
            <w:r>
              <w:rPr>
                <w:spacing w:val="5"/>
              </w:rPr>
              <w:t>用频单位</w:t>
            </w:r>
          </w:p>
        </w:tc>
        <w:tc>
          <w:tcPr>
            <w:tcW w:w="3071" w:type="dxa"/>
            <w:gridSpan w:val="2"/>
            <w:vAlign w:val="top"/>
          </w:tcPr>
          <w:p w14:paraId="56C34180">
            <w:pPr>
              <w:pStyle w:val="6"/>
              <w:spacing w:before="197" w:line="224" w:lineRule="auto"/>
              <w:ind w:left="1131"/>
            </w:pPr>
            <w:r>
              <w:rPr>
                <w:spacing w:val="5"/>
              </w:rPr>
              <w:t>气象辅助</w:t>
            </w:r>
          </w:p>
        </w:tc>
        <w:tc>
          <w:tcPr>
            <w:tcW w:w="1904" w:type="dxa"/>
            <w:vAlign w:val="top"/>
          </w:tcPr>
          <w:p w14:paraId="7A2CE487">
            <w:pPr>
              <w:pStyle w:val="6"/>
              <w:spacing w:before="197" w:line="226" w:lineRule="auto"/>
              <w:ind w:left="549"/>
            </w:pPr>
            <w:r>
              <w:rPr>
                <w:spacing w:val="4"/>
              </w:rPr>
              <w:t>频率重叠</w:t>
            </w:r>
          </w:p>
        </w:tc>
        <w:tc>
          <w:tcPr>
            <w:tcW w:w="1893" w:type="dxa"/>
            <w:vAlign w:val="top"/>
          </w:tcPr>
          <w:p w14:paraId="1D4F798A">
            <w:pPr>
              <w:rPr>
                <w:rFonts w:ascii="Arial"/>
                <w:sz w:val="21"/>
              </w:rPr>
            </w:pPr>
          </w:p>
        </w:tc>
      </w:tr>
      <w:tr w14:paraId="042385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022" w:type="dxa"/>
            <w:vAlign w:val="top"/>
          </w:tcPr>
          <w:p w14:paraId="68B95CC1">
            <w:pPr>
              <w:pStyle w:val="6"/>
              <w:spacing w:before="58" w:line="228" w:lineRule="auto"/>
              <w:ind w:left="309"/>
            </w:pPr>
            <w:r>
              <w:rPr>
                <w:b/>
                <w:bCs/>
                <w:spacing w:val="2"/>
              </w:rPr>
              <w:t>备注</w:t>
            </w:r>
          </w:p>
        </w:tc>
        <w:tc>
          <w:tcPr>
            <w:tcW w:w="13106" w:type="dxa"/>
            <w:gridSpan w:val="9"/>
            <w:vAlign w:val="top"/>
          </w:tcPr>
          <w:p w14:paraId="667DAC53">
            <w:pPr>
              <w:rPr>
                <w:rFonts w:ascii="Arial"/>
                <w:sz w:val="21"/>
              </w:rPr>
            </w:pPr>
          </w:p>
        </w:tc>
      </w:tr>
    </w:tbl>
    <w:p w14:paraId="7A0DC3BE">
      <w:pPr>
        <w:spacing w:line="298" w:lineRule="auto"/>
        <w:rPr>
          <w:rFonts w:ascii="Arial"/>
          <w:sz w:val="21"/>
        </w:rPr>
      </w:pPr>
    </w:p>
    <w:p w14:paraId="26246E30">
      <w:pPr>
        <w:pStyle w:val="2"/>
        <w:spacing w:before="65" w:line="272" w:lineRule="auto"/>
        <w:ind w:left="243" w:right="236" w:firstLine="4"/>
        <w:rPr>
          <w:sz w:val="20"/>
          <w:szCs w:val="20"/>
        </w:rPr>
      </w:pPr>
      <w:r>
        <w:rPr>
          <w:spacing w:val="9"/>
          <w:sz w:val="20"/>
          <w:szCs w:val="20"/>
        </w:rPr>
        <w:t>注：</w:t>
      </w:r>
      <w:r>
        <w:rPr>
          <w:spacing w:val="-50"/>
          <w:sz w:val="20"/>
          <w:szCs w:val="20"/>
        </w:rPr>
        <w:t xml:space="preserve"> </w:t>
      </w:r>
      <w:r>
        <w:rPr>
          <w:spacing w:val="9"/>
          <w:sz w:val="20"/>
          <w:szCs w:val="20"/>
        </w:rPr>
        <w:t>“协调完成状态”仅需由卫星操作单位在报送通知资料或申请许可时填写，填写内容为</w:t>
      </w:r>
      <w:r>
        <w:rPr>
          <w:spacing w:val="-63"/>
          <w:sz w:val="20"/>
          <w:szCs w:val="20"/>
        </w:rPr>
        <w:t xml:space="preserve"> </w:t>
      </w:r>
      <w:r>
        <w:rPr>
          <w:spacing w:val="9"/>
          <w:sz w:val="20"/>
          <w:szCs w:val="20"/>
        </w:rPr>
        <w:t>“依</w:t>
      </w:r>
      <w:r>
        <w:rPr>
          <w:spacing w:val="8"/>
          <w:sz w:val="20"/>
          <w:szCs w:val="20"/>
        </w:rPr>
        <w:t>规则自动完成、双方协议完成、第三方评估完成、主</w:t>
      </w:r>
      <w:r>
        <w:rPr>
          <w:sz w:val="20"/>
          <w:szCs w:val="20"/>
        </w:rPr>
        <w:t xml:space="preserve"> </w:t>
      </w:r>
      <w:r>
        <w:rPr>
          <w:spacing w:val="8"/>
          <w:sz w:val="20"/>
          <w:szCs w:val="20"/>
        </w:rPr>
        <w:t>管部门会议完成、主管部门函件征求意见完成”五种形式之一，或</w:t>
      </w:r>
      <w:r>
        <w:rPr>
          <w:spacing w:val="-50"/>
          <w:sz w:val="20"/>
          <w:szCs w:val="20"/>
        </w:rPr>
        <w:t xml:space="preserve"> </w:t>
      </w:r>
      <w:r>
        <w:rPr>
          <w:spacing w:val="8"/>
          <w:sz w:val="20"/>
          <w:szCs w:val="20"/>
        </w:rPr>
        <w:t>“未完成”。</w:t>
      </w:r>
    </w:p>
    <w:sectPr>
      <w:footerReference r:id="rId19" w:type="default"/>
      <w:pgSz w:w="16839" w:h="11906"/>
      <w:pgMar w:top="1012" w:right="1352" w:bottom="1200" w:left="1352" w:header="0" w:footer="101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2ACE3F">
    <w:pPr>
      <w:spacing w:line="184" w:lineRule="auto"/>
      <w:ind w:left="4271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D897F">
    <w:pPr>
      <w:spacing w:line="184" w:lineRule="auto"/>
      <w:ind w:left="4218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9"/>
        <w:sz w:val="20"/>
        <w:szCs w:val="20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D5654B">
    <w:pPr>
      <w:spacing w:line="184" w:lineRule="auto"/>
      <w:ind w:left="6902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10"/>
        <w:sz w:val="20"/>
        <w:szCs w:val="20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F5593">
    <w:pPr>
      <w:spacing w:line="184" w:lineRule="auto"/>
      <w:ind w:left="6897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9"/>
        <w:sz w:val="20"/>
        <w:szCs w:val="20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E95F1">
    <w:pPr>
      <w:spacing w:line="184" w:lineRule="auto"/>
      <w:ind w:left="6897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9"/>
        <w:sz w:val="20"/>
        <w:szCs w:val="20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7FCDD">
    <w:pPr>
      <w:spacing w:line="184" w:lineRule="auto"/>
      <w:ind w:left="6897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9"/>
        <w:sz w:val="20"/>
        <w:szCs w:val="20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51B5D8">
    <w:pPr>
      <w:spacing w:line="184" w:lineRule="auto"/>
      <w:ind w:left="6985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9"/>
        <w:sz w:val="20"/>
        <w:szCs w:val="20"/>
      </w:rPr>
      <w:t>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2D9ED9">
    <w:pPr>
      <w:spacing w:line="184" w:lineRule="auto"/>
      <w:ind w:left="4257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86DC4">
    <w:pPr>
      <w:spacing w:line="184" w:lineRule="auto"/>
      <w:ind w:left="4255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947A1">
    <w:pPr>
      <w:spacing w:line="184" w:lineRule="auto"/>
      <w:ind w:left="4251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1"/>
        <w:sz w:val="20"/>
        <w:szCs w:val="20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11D54E">
    <w:pPr>
      <w:spacing w:line="181" w:lineRule="auto"/>
      <w:ind w:left="4255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E588C">
    <w:pPr>
      <w:spacing w:line="184" w:lineRule="auto"/>
      <w:ind w:left="4251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AAF61">
    <w:pPr>
      <w:spacing w:line="181" w:lineRule="auto"/>
      <w:ind w:left="4253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FB438">
    <w:pPr>
      <w:spacing w:line="184" w:lineRule="auto"/>
      <w:ind w:left="4255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E37A9">
    <w:pPr>
      <w:spacing w:line="184" w:lineRule="auto"/>
      <w:ind w:left="4259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53C0E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7980</Words>
  <Characters>8853</Characters>
  <TotalTime>0</TotalTime>
  <ScaleCrop>false</ScaleCrop>
  <LinksUpToDate>false</LinksUpToDate>
  <CharactersWithSpaces>9419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2025-03-04T16:04:00Z</dcterms:created>
  <dc:creator>admin</dc:creator>
  <cp:lastModifiedBy>爱文</cp:lastModifiedBy>
  <dcterms:modified xsi:type="dcterms:W3CDTF">2025-03-13T02:44:12Z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2025-03-13T10:43:58Z</vt:filetime>
  </property>
  <property fmtid="{D5CDD505-2E9C-101B-9397-08002B2CF9AE}" pid="4" name="KSOProductBuildVer">
    <vt:lpwstr>2052-12.1.0.20305</vt:lpwstr>
  </property>
  <property fmtid="{D5CDD505-2E9C-101B-9397-08002B2CF9AE}" pid="5" name="ICV">
    <vt:lpwstr>AF0598AF0F574765A59B6095C03074AE_13</vt:lpwstr>
  </property>
</Properties>
</file>